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ABB Ports Internal Rationale - Component Performance Levels</w:t>
      </w:r>
    </w:p>
    <w:p>
      <w:r>
        <w:rPr>
          <w:b/>
        </w:rPr>
        <w:t xml:space="preserve">Goal. </w:t>
      </w:r>
      <w:r>
        <w:t>Review the supplier specification and the available measurement material, keep the supplier-facing document concise, and record the full internal requirement set with preferred conformity standards and engineering rationale.</w:t>
      </w:r>
    </w:p>
    <w:p>
      <w:pPr>
        <w:pStyle w:val="Heading1"/>
      </w:pPr>
      <w:r>
        <w:t>1. Purpose and use</w:t>
      </w:r>
    </w:p>
    <w:p>
      <w:r>
        <w:t>This internal document explains the requirements behind the supplier component document. It is intended for ABB Ports engineering, procurement and quality personnel when discussing deviations, selecting components, or updating future specifications. The supplier-facing document contains the condensed obligations; this document keeps the deeper requirement details, preferred conformity standards and rationale.</w:t>
      </w:r>
    </w:p>
    <w:p>
      <w:pPr>
        <w:pStyle w:val="Heading1"/>
      </w:pPr>
      <w:r>
        <w:t>2. Installation zone model</w:t>
      </w:r>
    </w:p>
    <w:tbl>
      <w:tblPr>
        <w:tblStyle w:val="TableGrid"/>
        <w:tblW w:type="auto" w:w="0"/>
        <w:jc w:val="center"/>
        <w:tblLook w:firstColumn="1" w:firstRow="1" w:lastColumn="0" w:lastRow="0" w:noHBand="0" w:noVBand="1" w:val="04A0"/>
      </w:tblPr>
      <w:tblGrid>
        <w:gridCol w:w="2788"/>
        <w:gridCol w:w="2788"/>
        <w:gridCol w:w="2788"/>
      </w:tblGrid>
      <w:tr>
        <w:tc>
          <w:tcPr>
            <w:tcW w:type="dxa" w:w="2788"/>
            <w:vAlign w:val="center"/>
            <w:shd w:fill="D9EAF7"/>
          </w:tcPr>
          <w:p>
            <w:r/>
            <w:r>
              <w:rPr>
                <w:b/>
                <w:sz w:val="15"/>
              </w:rPr>
              <w:t>Zone</w:t>
            </w:r>
          </w:p>
        </w:tc>
        <w:tc>
          <w:tcPr>
            <w:tcW w:type="dxa" w:w="2788"/>
            <w:vAlign w:val="center"/>
            <w:shd w:fill="D9EAF7"/>
          </w:tcPr>
          <w:p>
            <w:r/>
            <w:r>
              <w:rPr>
                <w:b/>
                <w:sz w:val="15"/>
              </w:rPr>
              <w:t>Chosen performance intent</w:t>
            </w:r>
          </w:p>
        </w:tc>
        <w:tc>
          <w:tcPr>
            <w:tcW w:type="dxa" w:w="2788"/>
            <w:vAlign w:val="center"/>
            <w:shd w:fill="D9EAF7"/>
          </w:tcPr>
          <w:p>
            <w:r/>
            <w:r>
              <w:rPr>
                <w:b/>
                <w:sz w:val="15"/>
              </w:rPr>
              <w:t>Rationale</w:t>
            </w:r>
          </w:p>
        </w:tc>
      </w:tr>
      <w:tr>
        <w:tc>
          <w:tcPr>
            <w:tcW w:type="dxa" w:w="2788"/>
            <w:vAlign w:val="center"/>
          </w:tcPr>
          <w:p>
            <w:r/>
            <w:r>
              <w:rPr>
                <w:b w:val="0"/>
                <w:sz w:val="15"/>
              </w:rPr>
              <w:t>A</w:t>
            </w:r>
          </w:p>
        </w:tc>
        <w:tc>
          <w:tcPr>
            <w:tcW w:type="dxa" w:w="2788"/>
            <w:vAlign w:val="center"/>
          </w:tcPr>
          <w:p>
            <w:r/>
            <w:r>
              <w:rPr>
                <w:b w:val="0"/>
                <w:sz w:val="15"/>
              </w:rPr>
              <w:t>Indoor industrial requirement level.</w:t>
            </w:r>
          </w:p>
        </w:tc>
        <w:tc>
          <w:tcPr>
            <w:tcW w:type="dxa" w:w="2788"/>
            <w:vAlign w:val="center"/>
          </w:tcPr>
          <w:p>
            <w:r/>
            <w:r>
              <w:rPr>
                <w:b w:val="0"/>
                <w:sz w:val="15"/>
              </w:rPr>
              <w:t>Climate controlled spaces have limited weather exposure and low mechanical loading; IP2X and low vibration/shock levels are sufficient for control-room or office-mounted equipment.</w:t>
            </w:r>
          </w:p>
        </w:tc>
      </w:tr>
      <w:tr>
        <w:tc>
          <w:tcPr>
            <w:tcW w:type="dxa" w:w="2788"/>
            <w:vAlign w:val="center"/>
          </w:tcPr>
          <w:p>
            <w:r/>
            <w:r>
              <w:rPr>
                <w:b w:val="0"/>
                <w:sz w:val="15"/>
              </w:rPr>
              <w:t>B</w:t>
            </w:r>
          </w:p>
        </w:tc>
        <w:tc>
          <w:tcPr>
            <w:tcW w:type="dxa" w:w="2788"/>
            <w:vAlign w:val="center"/>
          </w:tcPr>
          <w:p>
            <w:r/>
            <w:r>
              <w:rPr>
                <w:b w:val="0"/>
                <w:sz w:val="15"/>
              </w:rPr>
              <w:t>Outdoor port environment with moderate crane movement.</w:t>
            </w:r>
          </w:p>
        </w:tc>
        <w:tc>
          <w:tcPr>
            <w:tcW w:type="dxa" w:w="2788"/>
            <w:vAlign w:val="center"/>
          </w:tcPr>
          <w:p>
            <w:r/>
            <w:r>
              <w:rPr>
                <w:b w:val="0"/>
                <w:sz w:val="15"/>
              </w:rPr>
              <w:t>Boom, gantry and machinery-house equipment must tolerate weather, salt, UV and general crane vibration but is not normally exposed to the highest trolley or spreader dynamics.</w:t>
            </w:r>
          </w:p>
        </w:tc>
      </w:tr>
      <w:tr>
        <w:tc>
          <w:tcPr>
            <w:tcW w:type="dxa" w:w="2788"/>
            <w:vAlign w:val="center"/>
          </w:tcPr>
          <w:p>
            <w:r/>
            <w:r>
              <w:rPr>
                <w:b w:val="0"/>
                <w:sz w:val="15"/>
              </w:rPr>
              <w:t>C</w:t>
            </w:r>
          </w:p>
        </w:tc>
        <w:tc>
          <w:tcPr>
            <w:tcW w:type="dxa" w:w="2788"/>
            <w:vAlign w:val="center"/>
          </w:tcPr>
          <w:p>
            <w:r/>
            <w:r>
              <w:rPr>
                <w:b w:val="0"/>
                <w:sz w:val="15"/>
              </w:rPr>
              <w:t>High sustained vibration with moderate shock.</w:t>
            </w:r>
          </w:p>
        </w:tc>
        <w:tc>
          <w:tcPr>
            <w:tcW w:type="dxa" w:w="2788"/>
            <w:vAlign w:val="center"/>
          </w:tcPr>
          <w:p>
            <w:r/>
            <w:r>
              <w:rPr>
                <w:b w:val="0"/>
                <w:sz w:val="15"/>
              </w:rPr>
              <w:t>Trolley and waterside boom locations are affected by boom-hinge excitation and structural resonances. Measurements show sensitivity in low-frequency lateral motion and mid-low vertical motion, which is why this zone has the most demanding sustained-vibration requirement.</w:t>
            </w:r>
          </w:p>
        </w:tc>
      </w:tr>
      <w:tr>
        <w:tc>
          <w:tcPr>
            <w:tcW w:type="dxa" w:w="2788"/>
            <w:vAlign w:val="center"/>
          </w:tcPr>
          <w:p>
            <w:r/>
            <w:r>
              <w:rPr>
                <w:b w:val="0"/>
                <w:sz w:val="15"/>
              </w:rPr>
              <w:t>D</w:t>
            </w:r>
          </w:p>
        </w:tc>
        <w:tc>
          <w:tcPr>
            <w:tcW w:type="dxa" w:w="2788"/>
            <w:vAlign w:val="center"/>
          </w:tcPr>
          <w:p>
            <w:r/>
            <w:r>
              <w:rPr>
                <w:b w:val="0"/>
                <w:sz w:val="15"/>
              </w:rPr>
              <w:t>High shock and repeated impact.</w:t>
            </w:r>
          </w:p>
        </w:tc>
        <w:tc>
          <w:tcPr>
            <w:tcW w:type="dxa" w:w="2788"/>
            <w:vAlign w:val="center"/>
          </w:tcPr>
          <w:p>
            <w:r/>
            <w:r>
              <w:rPr>
                <w:b w:val="0"/>
                <w:sz w:val="15"/>
              </w:rPr>
              <w:t>Spreader and headblock components see the highest container-handling shock. The requirement is therefore driven by shock/bump robustness rather than only continuous vibration.</w:t>
            </w:r>
          </w:p>
        </w:tc>
      </w:tr>
    </w:tbl>
    <w:p/>
    <w:p>
      <w:pPr>
        <w:pStyle w:val="Heading1"/>
      </w:pPr>
      <w:r>
        <w:t>3. Requirement levels and preferred conformity standards</w:t>
      </w:r>
    </w:p>
    <w:p>
      <w:r>
        <w:t>The tables below list the same requirement levels as the supplier document, with the preferred standards or evidence used internally to confirm conformity. Equivalent standards can be accepted when they cover the same stress level and are approved by ABB engineering/quality.</w:t>
      </w:r>
    </w:p>
    <w:p>
      <w:pPr>
        <w:pStyle w:val="Heading2"/>
      </w:pPr>
      <w:r>
        <w:t>3.1 Environmental requirements</w:t>
      </w:r>
    </w:p>
    <w:tbl>
      <w:tblPr>
        <w:tblStyle w:val="TableGrid"/>
        <w:tblW w:type="auto" w:w="0"/>
        <w:jc w:val="center"/>
        <w:tblLook w:firstColumn="1" w:firstRow="1" w:lastColumn="0" w:lastRow="0" w:noHBand="0" w:noVBand="1" w:val="04A0"/>
      </w:tblPr>
      <w:tblGrid>
        <w:gridCol w:w="1394"/>
        <w:gridCol w:w="1394"/>
        <w:gridCol w:w="1394"/>
        <w:gridCol w:w="1394"/>
        <w:gridCol w:w="1394"/>
        <w:gridCol w:w="1394"/>
      </w:tblGrid>
      <w:tr>
        <w:tc>
          <w:tcPr>
            <w:tcW w:type="dxa" w:w="1394"/>
            <w:vAlign w:val="center"/>
            <w:shd w:fill="D9EAF7"/>
          </w:tcPr>
          <w:p>
            <w:r/>
            <w:r>
              <w:rPr>
                <w:b/>
                <w:sz w:val="15"/>
              </w:rPr>
              <w:t>Requirement</w:t>
            </w:r>
          </w:p>
        </w:tc>
        <w:tc>
          <w:tcPr>
            <w:tcW w:type="dxa" w:w="1394"/>
            <w:vAlign w:val="center"/>
            <w:shd w:fill="D9EAF7"/>
          </w:tcPr>
          <w:p>
            <w:r/>
            <w:r>
              <w:rPr>
                <w:b/>
                <w:sz w:val="15"/>
              </w:rPr>
              <w:t>Zone A</w:t>
            </w:r>
          </w:p>
        </w:tc>
        <w:tc>
          <w:tcPr>
            <w:tcW w:type="dxa" w:w="1394"/>
            <w:vAlign w:val="center"/>
            <w:shd w:fill="D9EAF7"/>
          </w:tcPr>
          <w:p>
            <w:r/>
            <w:r>
              <w:rPr>
                <w:b/>
                <w:sz w:val="15"/>
              </w:rPr>
              <w:t>Zone B</w:t>
            </w:r>
          </w:p>
        </w:tc>
        <w:tc>
          <w:tcPr>
            <w:tcW w:type="dxa" w:w="1394"/>
            <w:vAlign w:val="center"/>
            <w:shd w:fill="D9EAF7"/>
          </w:tcPr>
          <w:p>
            <w:r/>
            <w:r>
              <w:rPr>
                <w:b/>
                <w:sz w:val="15"/>
              </w:rPr>
              <w:t>Zone C</w:t>
            </w:r>
          </w:p>
        </w:tc>
        <w:tc>
          <w:tcPr>
            <w:tcW w:type="dxa" w:w="1394"/>
            <w:vAlign w:val="center"/>
            <w:shd w:fill="D9EAF7"/>
          </w:tcPr>
          <w:p>
            <w:r/>
            <w:r>
              <w:rPr>
                <w:b/>
                <w:sz w:val="15"/>
              </w:rPr>
              <w:t>Zone D</w:t>
            </w:r>
          </w:p>
        </w:tc>
        <w:tc>
          <w:tcPr>
            <w:tcW w:type="dxa" w:w="1394"/>
            <w:vAlign w:val="center"/>
            <w:shd w:fill="D9EAF7"/>
          </w:tcPr>
          <w:p>
            <w:r/>
            <w:r>
              <w:rPr>
                <w:b/>
                <w:sz w:val="15"/>
              </w:rPr>
              <w:t>Preferred conformity standard / evidence</w:t>
            </w:r>
          </w:p>
        </w:tc>
      </w:tr>
      <w:tr>
        <w:tc>
          <w:tcPr>
            <w:tcW w:type="dxa" w:w="1394"/>
            <w:vAlign w:val="center"/>
          </w:tcPr>
          <w:p>
            <w:r/>
            <w:r>
              <w:rPr>
                <w:b w:val="0"/>
                <w:sz w:val="15"/>
              </w:rPr>
              <w:t>Operating cold</w:t>
            </w:r>
          </w:p>
        </w:tc>
        <w:tc>
          <w:tcPr>
            <w:tcW w:type="dxa" w:w="1394"/>
            <w:vAlign w:val="center"/>
          </w:tcPr>
          <w:p>
            <w:r/>
            <w:r>
              <w:rPr>
                <w:b w:val="0"/>
                <w:sz w:val="15"/>
              </w:rPr>
              <w:t>+5 °C</w:t>
            </w:r>
          </w:p>
        </w:tc>
        <w:tc>
          <w:tcPr>
            <w:tcW w:type="dxa" w:w="1394"/>
            <w:vAlign w:val="center"/>
          </w:tcPr>
          <w:p>
            <w:r/>
            <w:r>
              <w:rPr>
                <w:b w:val="0"/>
                <w:sz w:val="15"/>
              </w:rPr>
              <w:t>-20 °C</w:t>
            </w:r>
          </w:p>
        </w:tc>
        <w:tc>
          <w:tcPr>
            <w:tcW w:type="dxa" w:w="1394"/>
            <w:vAlign w:val="center"/>
          </w:tcPr>
          <w:p>
            <w:r/>
            <w:r>
              <w:rPr>
                <w:b w:val="0"/>
                <w:sz w:val="15"/>
              </w:rPr>
              <w:t>-20 °C</w:t>
            </w:r>
          </w:p>
        </w:tc>
        <w:tc>
          <w:tcPr>
            <w:tcW w:type="dxa" w:w="1394"/>
            <w:vAlign w:val="center"/>
          </w:tcPr>
          <w:p>
            <w:r/>
            <w:r>
              <w:rPr>
                <w:b w:val="0"/>
                <w:sz w:val="15"/>
              </w:rPr>
              <w:t>-20 °C</w:t>
            </w:r>
          </w:p>
        </w:tc>
        <w:tc>
          <w:tcPr>
            <w:tcW w:type="dxa" w:w="1394"/>
            <w:vAlign w:val="center"/>
          </w:tcPr>
          <w:p>
            <w:r/>
            <w:r>
              <w:rPr>
                <w:b w:val="0"/>
                <w:sz w:val="15"/>
              </w:rPr>
              <w:t>IEC 60068-2-1, 16 h minimum or equivalent type test</w:t>
            </w:r>
          </w:p>
        </w:tc>
      </w:tr>
      <w:tr>
        <w:tc>
          <w:tcPr>
            <w:tcW w:type="dxa" w:w="1394"/>
            <w:vAlign w:val="center"/>
          </w:tcPr>
          <w:p>
            <w:r/>
            <w:r>
              <w:rPr>
                <w:b w:val="0"/>
                <w:sz w:val="15"/>
              </w:rPr>
              <w:t>Operating heat</w:t>
            </w:r>
          </w:p>
        </w:tc>
        <w:tc>
          <w:tcPr>
            <w:tcW w:type="dxa" w:w="1394"/>
            <w:vAlign w:val="center"/>
          </w:tcPr>
          <w:p>
            <w:r/>
            <w:r>
              <w:rPr>
                <w:b w:val="0"/>
                <w:sz w:val="15"/>
              </w:rPr>
              <w:t>+40 °C</w:t>
            </w:r>
          </w:p>
        </w:tc>
        <w:tc>
          <w:tcPr>
            <w:tcW w:type="dxa" w:w="1394"/>
            <w:vAlign w:val="center"/>
          </w:tcPr>
          <w:p>
            <w:r/>
            <w:r>
              <w:rPr>
                <w:b w:val="0"/>
                <w:sz w:val="15"/>
              </w:rPr>
              <w:t>+55 °C</w:t>
            </w:r>
          </w:p>
        </w:tc>
        <w:tc>
          <w:tcPr>
            <w:tcW w:type="dxa" w:w="1394"/>
            <w:vAlign w:val="center"/>
          </w:tcPr>
          <w:p>
            <w:r/>
            <w:r>
              <w:rPr>
                <w:b w:val="0"/>
                <w:sz w:val="15"/>
              </w:rPr>
              <w:t>+55 °C</w:t>
            </w:r>
          </w:p>
        </w:tc>
        <w:tc>
          <w:tcPr>
            <w:tcW w:type="dxa" w:w="1394"/>
            <w:vAlign w:val="center"/>
          </w:tcPr>
          <w:p>
            <w:r/>
            <w:r>
              <w:rPr>
                <w:b w:val="0"/>
                <w:sz w:val="15"/>
              </w:rPr>
              <w:t>+55 °C</w:t>
            </w:r>
          </w:p>
        </w:tc>
        <w:tc>
          <w:tcPr>
            <w:tcW w:type="dxa" w:w="1394"/>
            <w:vAlign w:val="center"/>
          </w:tcPr>
          <w:p>
            <w:r/>
            <w:r>
              <w:rPr>
                <w:b w:val="0"/>
                <w:sz w:val="15"/>
              </w:rPr>
              <w:t>IEC 60068-2-2, 16 h minimum or equivalent type test</w:t>
            </w:r>
          </w:p>
        </w:tc>
      </w:tr>
      <w:tr>
        <w:tc>
          <w:tcPr>
            <w:tcW w:type="dxa" w:w="1394"/>
            <w:vAlign w:val="center"/>
          </w:tcPr>
          <w:p>
            <w:r/>
            <w:r>
              <w:rPr>
                <w:b w:val="0"/>
                <w:sz w:val="15"/>
              </w:rPr>
              <w:t>Storage temperature</w:t>
            </w:r>
          </w:p>
        </w:tc>
        <w:tc>
          <w:tcPr>
            <w:tcW w:type="dxa" w:w="1394"/>
            <w:vAlign w:val="center"/>
          </w:tcPr>
          <w:p>
            <w:r/>
            <w:r>
              <w:rPr>
                <w:b w:val="0"/>
                <w:sz w:val="15"/>
              </w:rPr>
              <w:t>+5 to +50 °C</w:t>
            </w:r>
          </w:p>
        </w:tc>
        <w:tc>
          <w:tcPr>
            <w:tcW w:type="dxa" w:w="1394"/>
            <w:vAlign w:val="center"/>
          </w:tcPr>
          <w:p>
            <w:r/>
            <w:r>
              <w:rPr>
                <w:b w:val="0"/>
                <w:sz w:val="15"/>
              </w:rPr>
              <w:t>-30 to +70 °C</w:t>
            </w:r>
          </w:p>
        </w:tc>
        <w:tc>
          <w:tcPr>
            <w:tcW w:type="dxa" w:w="1394"/>
            <w:vAlign w:val="center"/>
          </w:tcPr>
          <w:p>
            <w:r/>
            <w:r>
              <w:rPr>
                <w:b w:val="0"/>
                <w:sz w:val="15"/>
              </w:rPr>
              <w:t>-30 to +70 °C</w:t>
            </w:r>
          </w:p>
        </w:tc>
        <w:tc>
          <w:tcPr>
            <w:tcW w:type="dxa" w:w="1394"/>
            <w:vAlign w:val="center"/>
          </w:tcPr>
          <w:p>
            <w:r/>
            <w:r>
              <w:rPr>
                <w:b w:val="0"/>
                <w:sz w:val="15"/>
              </w:rPr>
              <w:t>-30 to +70 °C</w:t>
            </w:r>
          </w:p>
        </w:tc>
        <w:tc>
          <w:tcPr>
            <w:tcW w:type="dxa" w:w="1394"/>
            <w:vAlign w:val="center"/>
          </w:tcPr>
          <w:p>
            <w:r/>
            <w:r>
              <w:rPr>
                <w:b w:val="0"/>
                <w:sz w:val="15"/>
              </w:rPr>
              <w:t>IEC 60068-2-1 / IEC 60068-2-2 storage verification</w:t>
            </w:r>
          </w:p>
        </w:tc>
      </w:tr>
      <w:tr>
        <w:tc>
          <w:tcPr>
            <w:tcW w:type="dxa" w:w="1394"/>
            <w:vAlign w:val="center"/>
          </w:tcPr>
          <w:p>
            <w:r/>
            <w:r>
              <w:rPr>
                <w:b w:val="0"/>
                <w:sz w:val="15"/>
              </w:rPr>
              <w:t>Steady-state humidity</w:t>
            </w:r>
          </w:p>
        </w:tc>
        <w:tc>
          <w:tcPr>
            <w:tcW w:type="dxa" w:w="1394"/>
            <w:vAlign w:val="center"/>
          </w:tcPr>
          <w:p>
            <w:r/>
            <w:r>
              <w:rPr>
                <w:b w:val="0"/>
                <w:sz w:val="15"/>
              </w:rPr>
              <w:t>40 °C, 93 %RH, 4 d</w:t>
            </w:r>
          </w:p>
        </w:tc>
        <w:tc>
          <w:tcPr>
            <w:tcW w:type="dxa" w:w="1394"/>
            <w:vAlign w:val="center"/>
          </w:tcPr>
          <w:p>
            <w:r/>
            <w:r>
              <w:rPr>
                <w:b w:val="0"/>
                <w:sz w:val="15"/>
              </w:rPr>
              <w:t>40 °C, 93 %RH, 10 d</w:t>
            </w:r>
          </w:p>
        </w:tc>
        <w:tc>
          <w:tcPr>
            <w:tcW w:type="dxa" w:w="1394"/>
            <w:vAlign w:val="center"/>
          </w:tcPr>
          <w:p>
            <w:r/>
            <w:r>
              <w:rPr>
                <w:b w:val="0"/>
                <w:sz w:val="15"/>
              </w:rPr>
              <w:t>40 °C, 93 %RH, 10 d</w:t>
            </w:r>
          </w:p>
        </w:tc>
        <w:tc>
          <w:tcPr>
            <w:tcW w:type="dxa" w:w="1394"/>
            <w:vAlign w:val="center"/>
          </w:tcPr>
          <w:p>
            <w:r/>
            <w:r>
              <w:rPr>
                <w:b w:val="0"/>
                <w:sz w:val="15"/>
              </w:rPr>
              <w:t>40 °C, 93 %RH, 10 d</w:t>
            </w:r>
          </w:p>
        </w:tc>
        <w:tc>
          <w:tcPr>
            <w:tcW w:type="dxa" w:w="1394"/>
            <w:vAlign w:val="center"/>
          </w:tcPr>
          <w:p>
            <w:r/>
            <w:r>
              <w:rPr>
                <w:b w:val="0"/>
                <w:sz w:val="15"/>
              </w:rPr>
              <w:t>IEC 60068-2-78</w:t>
            </w:r>
          </w:p>
        </w:tc>
      </w:tr>
      <w:tr>
        <w:tc>
          <w:tcPr>
            <w:tcW w:type="dxa" w:w="1394"/>
            <w:vAlign w:val="center"/>
          </w:tcPr>
          <w:p>
            <w:r/>
            <w:r>
              <w:rPr>
                <w:b w:val="0"/>
                <w:sz w:val="15"/>
              </w:rPr>
              <w:t>Cyclic damp heat</w:t>
            </w:r>
          </w:p>
        </w:tc>
        <w:tc>
          <w:tcPr>
            <w:tcW w:type="dxa" w:w="1394"/>
            <w:vAlign w:val="center"/>
          </w:tcPr>
          <w:p>
            <w:r/>
            <w:r>
              <w:rPr>
                <w:b w:val="0"/>
                <w:sz w:val="15"/>
              </w:rPr>
              <w:t>N/A</w:t>
            </w:r>
          </w:p>
        </w:tc>
        <w:tc>
          <w:tcPr>
            <w:tcW w:type="dxa" w:w="1394"/>
            <w:vAlign w:val="center"/>
          </w:tcPr>
          <w:p>
            <w:r/>
            <w:r>
              <w:rPr>
                <w:b w:val="0"/>
                <w:sz w:val="15"/>
              </w:rPr>
              <w:t>+55 °C, 6 cycles</w:t>
            </w:r>
          </w:p>
        </w:tc>
        <w:tc>
          <w:tcPr>
            <w:tcW w:type="dxa" w:w="1394"/>
            <w:vAlign w:val="center"/>
          </w:tcPr>
          <w:p>
            <w:r/>
            <w:r>
              <w:rPr>
                <w:b w:val="0"/>
                <w:sz w:val="15"/>
              </w:rPr>
              <w:t>+55 °C, 6 cycles</w:t>
            </w:r>
          </w:p>
        </w:tc>
        <w:tc>
          <w:tcPr>
            <w:tcW w:type="dxa" w:w="1394"/>
            <w:vAlign w:val="center"/>
          </w:tcPr>
          <w:p>
            <w:r/>
            <w:r>
              <w:rPr>
                <w:b w:val="0"/>
                <w:sz w:val="15"/>
              </w:rPr>
              <w:t>+55 °C, 6 cycles</w:t>
            </w:r>
          </w:p>
        </w:tc>
        <w:tc>
          <w:tcPr>
            <w:tcW w:type="dxa" w:w="1394"/>
            <w:vAlign w:val="center"/>
          </w:tcPr>
          <w:p>
            <w:r/>
            <w:r>
              <w:rPr>
                <w:b w:val="0"/>
                <w:sz w:val="15"/>
              </w:rPr>
              <w:t>IEC 60068-2-30</w:t>
            </w:r>
          </w:p>
        </w:tc>
      </w:tr>
      <w:tr>
        <w:tc>
          <w:tcPr>
            <w:tcW w:type="dxa" w:w="1394"/>
            <w:vAlign w:val="center"/>
          </w:tcPr>
          <w:p>
            <w:r/>
            <w:r>
              <w:rPr>
                <w:b w:val="0"/>
                <w:sz w:val="15"/>
              </w:rPr>
              <w:t>Salt fog / salt atmosphere</w:t>
            </w:r>
          </w:p>
        </w:tc>
        <w:tc>
          <w:tcPr>
            <w:tcW w:type="dxa" w:w="1394"/>
            <w:vAlign w:val="center"/>
          </w:tcPr>
          <w:p>
            <w:r/>
            <w:r>
              <w:rPr>
                <w:b w:val="0"/>
                <w:sz w:val="15"/>
              </w:rPr>
              <w:t>N/A</w:t>
            </w:r>
          </w:p>
        </w:tc>
        <w:tc>
          <w:tcPr>
            <w:tcW w:type="dxa" w:w="1394"/>
            <w:vAlign w:val="center"/>
          </w:tcPr>
          <w:p>
            <w:r/>
            <w:r>
              <w:rPr>
                <w:b w:val="0"/>
                <w:sz w:val="15"/>
              </w:rPr>
              <w:t>Severity 1, 4 × 7 days</w:t>
            </w:r>
          </w:p>
        </w:tc>
        <w:tc>
          <w:tcPr>
            <w:tcW w:type="dxa" w:w="1394"/>
            <w:vAlign w:val="center"/>
          </w:tcPr>
          <w:p>
            <w:r/>
            <w:r>
              <w:rPr>
                <w:b w:val="0"/>
                <w:sz w:val="15"/>
              </w:rPr>
              <w:t>Severity 1, 4 × 7 days</w:t>
            </w:r>
          </w:p>
        </w:tc>
        <w:tc>
          <w:tcPr>
            <w:tcW w:type="dxa" w:w="1394"/>
            <w:vAlign w:val="center"/>
          </w:tcPr>
          <w:p>
            <w:r/>
            <w:r>
              <w:rPr>
                <w:b w:val="0"/>
                <w:sz w:val="15"/>
              </w:rPr>
              <w:t>Severity 1, 4 × 7 days</w:t>
            </w:r>
          </w:p>
        </w:tc>
        <w:tc>
          <w:tcPr>
            <w:tcW w:type="dxa" w:w="1394"/>
            <w:vAlign w:val="center"/>
          </w:tcPr>
          <w:p>
            <w:r/>
            <w:r>
              <w:rPr>
                <w:b w:val="0"/>
                <w:sz w:val="15"/>
              </w:rPr>
              <w:t>IEC 60068-2-52</w:t>
            </w:r>
          </w:p>
        </w:tc>
      </w:tr>
      <w:tr>
        <w:tc>
          <w:tcPr>
            <w:tcW w:type="dxa" w:w="1394"/>
            <w:vAlign w:val="center"/>
          </w:tcPr>
          <w:p>
            <w:r/>
            <w:r>
              <w:rPr>
                <w:b w:val="0"/>
                <w:sz w:val="15"/>
              </w:rPr>
              <w:t>Static salt spray</w:t>
            </w:r>
          </w:p>
        </w:tc>
        <w:tc>
          <w:tcPr>
            <w:tcW w:type="dxa" w:w="1394"/>
            <w:vAlign w:val="center"/>
          </w:tcPr>
          <w:p>
            <w:r/>
            <w:r>
              <w:rPr>
                <w:b w:val="0"/>
                <w:sz w:val="15"/>
              </w:rPr>
              <w:t>N/A</w:t>
            </w:r>
          </w:p>
        </w:tc>
        <w:tc>
          <w:tcPr>
            <w:tcW w:type="dxa" w:w="1394"/>
            <w:vAlign w:val="center"/>
          </w:tcPr>
          <w:p>
            <w:r/>
            <w:r>
              <w:rPr>
                <w:b w:val="0"/>
                <w:sz w:val="15"/>
              </w:rPr>
              <w:t>1000 h neutral salt spray</w:t>
            </w:r>
          </w:p>
        </w:tc>
        <w:tc>
          <w:tcPr>
            <w:tcW w:type="dxa" w:w="1394"/>
            <w:vAlign w:val="center"/>
          </w:tcPr>
          <w:p>
            <w:r/>
            <w:r>
              <w:rPr>
                <w:b w:val="0"/>
                <w:sz w:val="15"/>
              </w:rPr>
              <w:t>1000 h neutral salt spray</w:t>
            </w:r>
          </w:p>
        </w:tc>
        <w:tc>
          <w:tcPr>
            <w:tcW w:type="dxa" w:w="1394"/>
            <w:vAlign w:val="center"/>
          </w:tcPr>
          <w:p>
            <w:r/>
            <w:r>
              <w:rPr>
                <w:b w:val="0"/>
                <w:sz w:val="15"/>
              </w:rPr>
              <w:t>1000 h neutral salt spray</w:t>
            </w:r>
          </w:p>
        </w:tc>
        <w:tc>
          <w:tcPr>
            <w:tcW w:type="dxa" w:w="1394"/>
            <w:vAlign w:val="center"/>
          </w:tcPr>
          <w:p>
            <w:r/>
            <w:r>
              <w:rPr>
                <w:b w:val="0"/>
                <w:sz w:val="15"/>
              </w:rPr>
              <w:t>ISO 9227 NSS</w:t>
            </w:r>
          </w:p>
        </w:tc>
      </w:tr>
      <w:tr>
        <w:tc>
          <w:tcPr>
            <w:tcW w:type="dxa" w:w="1394"/>
            <w:vAlign w:val="center"/>
          </w:tcPr>
          <w:p>
            <w:r/>
            <w:r>
              <w:rPr>
                <w:b w:val="0"/>
                <w:sz w:val="15"/>
              </w:rPr>
              <w:t>Ingress protection</w:t>
            </w:r>
          </w:p>
        </w:tc>
        <w:tc>
          <w:tcPr>
            <w:tcW w:type="dxa" w:w="1394"/>
            <w:vAlign w:val="center"/>
          </w:tcPr>
          <w:p>
            <w:r/>
            <w:r>
              <w:rPr>
                <w:b w:val="0"/>
                <w:sz w:val="15"/>
              </w:rPr>
              <w:t>IP2X</w:t>
            </w:r>
          </w:p>
        </w:tc>
        <w:tc>
          <w:tcPr>
            <w:tcW w:type="dxa" w:w="1394"/>
            <w:vAlign w:val="center"/>
          </w:tcPr>
          <w:p>
            <w:r/>
            <w:r>
              <w:rPr>
                <w:b w:val="0"/>
                <w:sz w:val="15"/>
              </w:rPr>
              <w:t>IP66</w:t>
            </w:r>
          </w:p>
        </w:tc>
        <w:tc>
          <w:tcPr>
            <w:tcW w:type="dxa" w:w="1394"/>
            <w:vAlign w:val="center"/>
          </w:tcPr>
          <w:p>
            <w:r/>
            <w:r>
              <w:rPr>
                <w:b w:val="0"/>
                <w:sz w:val="15"/>
              </w:rPr>
              <w:t>IP66</w:t>
            </w:r>
          </w:p>
        </w:tc>
        <w:tc>
          <w:tcPr>
            <w:tcW w:type="dxa" w:w="1394"/>
            <w:vAlign w:val="center"/>
          </w:tcPr>
          <w:p>
            <w:r/>
            <w:r>
              <w:rPr>
                <w:b w:val="0"/>
                <w:sz w:val="15"/>
              </w:rPr>
              <w:t>IP66</w:t>
            </w:r>
          </w:p>
        </w:tc>
        <w:tc>
          <w:tcPr>
            <w:tcW w:type="dxa" w:w="1394"/>
            <w:vAlign w:val="center"/>
          </w:tcPr>
          <w:p>
            <w:r/>
            <w:r>
              <w:rPr>
                <w:b w:val="0"/>
                <w:sz w:val="15"/>
              </w:rPr>
              <w:t>IEC 60529 test report or certified enclosure rating</w:t>
            </w:r>
          </w:p>
        </w:tc>
      </w:tr>
      <w:tr>
        <w:tc>
          <w:tcPr>
            <w:tcW w:type="dxa" w:w="1394"/>
            <w:vAlign w:val="center"/>
          </w:tcPr>
          <w:p>
            <w:r/>
            <w:r>
              <w:rPr>
                <w:b w:val="0"/>
                <w:sz w:val="15"/>
              </w:rPr>
              <w:t>UV resistance</w:t>
            </w:r>
          </w:p>
        </w:tc>
        <w:tc>
          <w:tcPr>
            <w:tcW w:type="dxa" w:w="1394"/>
            <w:vAlign w:val="center"/>
          </w:tcPr>
          <w:p>
            <w:r/>
            <w:r>
              <w:rPr>
                <w:b w:val="0"/>
                <w:sz w:val="15"/>
              </w:rPr>
              <w:t>N/A</w:t>
            </w:r>
          </w:p>
        </w:tc>
        <w:tc>
          <w:tcPr>
            <w:tcW w:type="dxa" w:w="1394"/>
            <w:vAlign w:val="center"/>
          </w:tcPr>
          <w:p>
            <w:r/>
            <w:r>
              <w:rPr>
                <w:b w:val="0"/>
                <w:sz w:val="15"/>
              </w:rPr>
              <w:t>2000 h</w:t>
            </w:r>
          </w:p>
        </w:tc>
        <w:tc>
          <w:tcPr>
            <w:tcW w:type="dxa" w:w="1394"/>
            <w:vAlign w:val="center"/>
          </w:tcPr>
          <w:p>
            <w:r/>
            <w:r>
              <w:rPr>
                <w:b w:val="0"/>
                <w:sz w:val="15"/>
              </w:rPr>
              <w:t>2000 h</w:t>
            </w:r>
          </w:p>
        </w:tc>
        <w:tc>
          <w:tcPr>
            <w:tcW w:type="dxa" w:w="1394"/>
            <w:vAlign w:val="center"/>
          </w:tcPr>
          <w:p>
            <w:r/>
            <w:r>
              <w:rPr>
                <w:b w:val="0"/>
                <w:sz w:val="15"/>
              </w:rPr>
              <w:t>2000 h</w:t>
            </w:r>
          </w:p>
        </w:tc>
        <w:tc>
          <w:tcPr>
            <w:tcW w:type="dxa" w:w="1394"/>
            <w:vAlign w:val="center"/>
          </w:tcPr>
          <w:p>
            <w:r/>
            <w:r>
              <w:rPr>
                <w:b w:val="0"/>
                <w:sz w:val="15"/>
              </w:rPr>
              <w:t>ISO 4892-2 or equivalent polymer/coating UV test</w:t>
            </w:r>
          </w:p>
        </w:tc>
      </w:tr>
    </w:tbl>
    <w:p/>
    <w:p>
      <w:pPr>
        <w:pStyle w:val="Heading2"/>
      </w:pPr>
      <w:r>
        <w:t>3.2 Mechanical requirements</w:t>
      </w:r>
    </w:p>
    <w:tbl>
      <w:tblPr>
        <w:tblStyle w:val="TableGrid"/>
        <w:tblW w:type="auto" w:w="0"/>
        <w:jc w:val="center"/>
        <w:tblLook w:firstColumn="1" w:firstRow="1" w:lastColumn="0" w:lastRow="0" w:noHBand="0" w:noVBand="1" w:val="04A0"/>
      </w:tblPr>
      <w:tblGrid>
        <w:gridCol w:w="1394"/>
        <w:gridCol w:w="1394"/>
        <w:gridCol w:w="1394"/>
        <w:gridCol w:w="1394"/>
        <w:gridCol w:w="1394"/>
        <w:gridCol w:w="1394"/>
      </w:tblGrid>
      <w:tr>
        <w:tc>
          <w:tcPr>
            <w:tcW w:type="dxa" w:w="1394"/>
            <w:vAlign w:val="center"/>
            <w:shd w:fill="D9EAF7"/>
          </w:tcPr>
          <w:p>
            <w:r/>
            <w:r>
              <w:rPr>
                <w:b/>
                <w:sz w:val="15"/>
              </w:rPr>
              <w:t>Requirement</w:t>
            </w:r>
          </w:p>
        </w:tc>
        <w:tc>
          <w:tcPr>
            <w:tcW w:type="dxa" w:w="1394"/>
            <w:vAlign w:val="center"/>
            <w:shd w:fill="D9EAF7"/>
          </w:tcPr>
          <w:p>
            <w:r/>
            <w:r>
              <w:rPr>
                <w:b/>
                <w:sz w:val="15"/>
              </w:rPr>
              <w:t>Zone A</w:t>
            </w:r>
          </w:p>
        </w:tc>
        <w:tc>
          <w:tcPr>
            <w:tcW w:type="dxa" w:w="1394"/>
            <w:vAlign w:val="center"/>
            <w:shd w:fill="D9EAF7"/>
          </w:tcPr>
          <w:p>
            <w:r/>
            <w:r>
              <w:rPr>
                <w:b/>
                <w:sz w:val="15"/>
              </w:rPr>
              <w:t>Zone B</w:t>
            </w:r>
          </w:p>
        </w:tc>
        <w:tc>
          <w:tcPr>
            <w:tcW w:type="dxa" w:w="1394"/>
            <w:vAlign w:val="center"/>
            <w:shd w:fill="D9EAF7"/>
          </w:tcPr>
          <w:p>
            <w:r/>
            <w:r>
              <w:rPr>
                <w:b/>
                <w:sz w:val="15"/>
              </w:rPr>
              <w:t>Zone C</w:t>
            </w:r>
          </w:p>
        </w:tc>
        <w:tc>
          <w:tcPr>
            <w:tcW w:type="dxa" w:w="1394"/>
            <w:vAlign w:val="center"/>
            <w:shd w:fill="D9EAF7"/>
          </w:tcPr>
          <w:p>
            <w:r/>
            <w:r>
              <w:rPr>
                <w:b/>
                <w:sz w:val="15"/>
              </w:rPr>
              <w:t>Zone D</w:t>
            </w:r>
          </w:p>
        </w:tc>
        <w:tc>
          <w:tcPr>
            <w:tcW w:type="dxa" w:w="1394"/>
            <w:vAlign w:val="center"/>
            <w:shd w:fill="D9EAF7"/>
          </w:tcPr>
          <w:p>
            <w:r/>
            <w:r>
              <w:rPr>
                <w:b/>
                <w:sz w:val="15"/>
              </w:rPr>
              <w:t>Preferred conformity standard / evidence</w:t>
            </w:r>
          </w:p>
        </w:tc>
      </w:tr>
      <w:tr>
        <w:tc>
          <w:tcPr>
            <w:tcW w:type="dxa" w:w="1394"/>
            <w:vAlign w:val="center"/>
          </w:tcPr>
          <w:p>
            <w:r/>
            <w:r>
              <w:rPr>
                <w:b w:val="0"/>
                <w:sz w:val="15"/>
              </w:rPr>
              <w:t>Sinusoidal vibration</w:t>
            </w:r>
          </w:p>
        </w:tc>
        <w:tc>
          <w:tcPr>
            <w:tcW w:type="dxa" w:w="1394"/>
            <w:vAlign w:val="center"/>
          </w:tcPr>
          <w:p>
            <w:r/>
            <w:r>
              <w:rPr>
                <w:b w:val="0"/>
                <w:sz w:val="15"/>
              </w:rPr>
              <w:t>0.5 g, 10-150 Hz</w:t>
            </w:r>
          </w:p>
        </w:tc>
        <w:tc>
          <w:tcPr>
            <w:tcW w:type="dxa" w:w="1394"/>
            <w:vAlign w:val="center"/>
          </w:tcPr>
          <w:p>
            <w:r/>
            <w:r>
              <w:rPr>
                <w:b w:val="0"/>
                <w:sz w:val="15"/>
              </w:rPr>
              <w:t>1.5 g, 10-500 Hz</w:t>
            </w:r>
          </w:p>
        </w:tc>
        <w:tc>
          <w:tcPr>
            <w:tcW w:type="dxa" w:w="1394"/>
            <w:vAlign w:val="center"/>
          </w:tcPr>
          <w:p>
            <w:r/>
            <w:r>
              <w:rPr>
                <w:b w:val="0"/>
                <w:sz w:val="15"/>
              </w:rPr>
              <w:t>3.0 g, 5-500 Hz</w:t>
            </w:r>
          </w:p>
        </w:tc>
        <w:tc>
          <w:tcPr>
            <w:tcW w:type="dxa" w:w="1394"/>
            <w:vAlign w:val="center"/>
          </w:tcPr>
          <w:p>
            <w:r/>
            <w:r>
              <w:rPr>
                <w:b w:val="0"/>
                <w:sz w:val="15"/>
              </w:rPr>
              <w:t>3.0 g, 10-500 Hz</w:t>
            </w:r>
          </w:p>
        </w:tc>
        <w:tc>
          <w:tcPr>
            <w:tcW w:type="dxa" w:w="1394"/>
            <w:vAlign w:val="center"/>
          </w:tcPr>
          <w:p>
            <w:r/>
            <w:r>
              <w:rPr>
                <w:b w:val="0"/>
                <w:sz w:val="15"/>
              </w:rPr>
              <w:t>IEC 60068-2-6; sweep rate 1 oct/min; 10/15/20/20 sweeps per axis by zone</w:t>
            </w:r>
          </w:p>
        </w:tc>
      </w:tr>
      <w:tr>
        <w:tc>
          <w:tcPr>
            <w:tcW w:type="dxa" w:w="1394"/>
            <w:vAlign w:val="center"/>
          </w:tcPr>
          <w:p>
            <w:r/>
            <w:r>
              <w:rPr>
                <w:b w:val="0"/>
                <w:sz w:val="15"/>
              </w:rPr>
              <w:t>Random vibration</w:t>
            </w:r>
          </w:p>
        </w:tc>
        <w:tc>
          <w:tcPr>
            <w:tcW w:type="dxa" w:w="1394"/>
            <w:vAlign w:val="center"/>
          </w:tcPr>
          <w:p>
            <w:r/>
            <w:r>
              <w:rPr>
                <w:b w:val="0"/>
                <w:sz w:val="15"/>
              </w:rPr>
              <w:t>0.5 g RMS, 5-150 Hz</w:t>
            </w:r>
          </w:p>
        </w:tc>
        <w:tc>
          <w:tcPr>
            <w:tcW w:type="dxa" w:w="1394"/>
            <w:vAlign w:val="center"/>
          </w:tcPr>
          <w:p>
            <w:r/>
            <w:r>
              <w:rPr>
                <w:b w:val="0"/>
                <w:sz w:val="15"/>
              </w:rPr>
              <w:t>0.8 g RMS, 5-500 Hz</w:t>
            </w:r>
          </w:p>
        </w:tc>
        <w:tc>
          <w:tcPr>
            <w:tcW w:type="dxa" w:w="1394"/>
            <w:vAlign w:val="center"/>
          </w:tcPr>
          <w:p>
            <w:r/>
            <w:r>
              <w:rPr>
                <w:b w:val="0"/>
                <w:sz w:val="15"/>
              </w:rPr>
              <w:t>1.5 g RMS, 5-500 Hz</w:t>
            </w:r>
          </w:p>
        </w:tc>
        <w:tc>
          <w:tcPr>
            <w:tcW w:type="dxa" w:w="1394"/>
            <w:vAlign w:val="center"/>
          </w:tcPr>
          <w:p>
            <w:r/>
            <w:r>
              <w:rPr>
                <w:b w:val="0"/>
                <w:sz w:val="15"/>
              </w:rPr>
              <w:t>2.0 g RMS, 5-500 Hz</w:t>
            </w:r>
          </w:p>
        </w:tc>
        <w:tc>
          <w:tcPr>
            <w:tcW w:type="dxa" w:w="1394"/>
            <w:vAlign w:val="center"/>
          </w:tcPr>
          <w:p>
            <w:r/>
            <w:r>
              <w:rPr>
                <w:b w:val="0"/>
                <w:sz w:val="15"/>
              </w:rPr>
              <w:t>IEC 60068-2-64; 1 h / 1.5 h / 2 h / 4 h per axis by zone</w:t>
            </w:r>
          </w:p>
        </w:tc>
      </w:tr>
      <w:tr>
        <w:tc>
          <w:tcPr>
            <w:tcW w:type="dxa" w:w="1394"/>
            <w:vAlign w:val="center"/>
          </w:tcPr>
          <w:p>
            <w:r/>
            <w:r>
              <w:rPr>
                <w:b w:val="0"/>
                <w:sz w:val="15"/>
              </w:rPr>
              <w:t>Mechanical shock</w:t>
            </w:r>
          </w:p>
        </w:tc>
        <w:tc>
          <w:tcPr>
            <w:tcW w:type="dxa" w:w="1394"/>
            <w:vAlign w:val="center"/>
          </w:tcPr>
          <w:p>
            <w:r/>
            <w:r>
              <w:rPr>
                <w:b w:val="0"/>
                <w:sz w:val="15"/>
              </w:rPr>
              <w:t>3 g, 11 ms</w:t>
            </w:r>
          </w:p>
        </w:tc>
        <w:tc>
          <w:tcPr>
            <w:tcW w:type="dxa" w:w="1394"/>
            <w:vAlign w:val="center"/>
          </w:tcPr>
          <w:p>
            <w:r/>
            <w:r>
              <w:rPr>
                <w:b w:val="0"/>
                <w:sz w:val="15"/>
              </w:rPr>
              <w:t>5 g, 11 ms</w:t>
            </w:r>
          </w:p>
        </w:tc>
        <w:tc>
          <w:tcPr>
            <w:tcW w:type="dxa" w:w="1394"/>
            <w:vAlign w:val="center"/>
          </w:tcPr>
          <w:p>
            <w:r/>
            <w:r>
              <w:rPr>
                <w:b w:val="0"/>
                <w:sz w:val="15"/>
              </w:rPr>
              <w:t>8 g, 11 ms</w:t>
            </w:r>
          </w:p>
        </w:tc>
        <w:tc>
          <w:tcPr>
            <w:tcW w:type="dxa" w:w="1394"/>
            <w:vAlign w:val="center"/>
          </w:tcPr>
          <w:p>
            <w:r/>
            <w:r>
              <w:rPr>
                <w:b w:val="0"/>
                <w:sz w:val="15"/>
              </w:rPr>
              <w:t>50 g, 11 ms</w:t>
            </w:r>
          </w:p>
        </w:tc>
        <w:tc>
          <w:tcPr>
            <w:tcW w:type="dxa" w:w="1394"/>
            <w:vAlign w:val="center"/>
          </w:tcPr>
          <w:p>
            <w:r/>
            <w:r>
              <w:rPr>
                <w:b w:val="0"/>
                <w:sz w:val="15"/>
              </w:rPr>
              <w:t>IEC 60068-2-27; half-sine; 3 shocks per direction, 6 directions</w:t>
            </w:r>
          </w:p>
        </w:tc>
      </w:tr>
      <w:tr>
        <w:tc>
          <w:tcPr>
            <w:tcW w:type="dxa" w:w="1394"/>
            <w:vAlign w:val="center"/>
          </w:tcPr>
          <w:p>
            <w:r/>
            <w:r>
              <w:rPr>
                <w:b w:val="0"/>
                <w:sz w:val="15"/>
              </w:rPr>
              <w:t>Repetitive shock / bump</w:t>
            </w:r>
          </w:p>
        </w:tc>
        <w:tc>
          <w:tcPr>
            <w:tcW w:type="dxa" w:w="1394"/>
            <w:vAlign w:val="center"/>
          </w:tcPr>
          <w:p>
            <w:r/>
            <w:r>
              <w:rPr>
                <w:b w:val="0"/>
                <w:sz w:val="15"/>
              </w:rPr>
              <w:t>N/A</w:t>
            </w:r>
          </w:p>
        </w:tc>
        <w:tc>
          <w:tcPr>
            <w:tcW w:type="dxa" w:w="1394"/>
            <w:vAlign w:val="center"/>
          </w:tcPr>
          <w:p>
            <w:r/>
            <w:r>
              <w:rPr>
                <w:b w:val="0"/>
                <w:sz w:val="15"/>
              </w:rPr>
              <w:t>5 g, 16 ms, 1000/axis</w:t>
            </w:r>
          </w:p>
        </w:tc>
        <w:tc>
          <w:tcPr>
            <w:tcW w:type="dxa" w:w="1394"/>
            <w:vAlign w:val="center"/>
          </w:tcPr>
          <w:p>
            <w:r/>
            <w:r>
              <w:rPr>
                <w:b w:val="0"/>
                <w:sz w:val="15"/>
              </w:rPr>
              <w:t>8 g, 16 ms, 2000/axis</w:t>
            </w:r>
          </w:p>
        </w:tc>
        <w:tc>
          <w:tcPr>
            <w:tcW w:type="dxa" w:w="1394"/>
            <w:vAlign w:val="center"/>
          </w:tcPr>
          <w:p>
            <w:r/>
            <w:r>
              <w:rPr>
                <w:b w:val="0"/>
                <w:sz w:val="15"/>
              </w:rPr>
              <w:t>30 g, 18 ms, 4000/axis</w:t>
            </w:r>
          </w:p>
        </w:tc>
        <w:tc>
          <w:tcPr>
            <w:tcW w:type="dxa" w:w="1394"/>
            <w:vAlign w:val="center"/>
          </w:tcPr>
          <w:p>
            <w:r/>
            <w:r>
              <w:rPr>
                <w:b w:val="0"/>
                <w:sz w:val="15"/>
              </w:rPr>
              <w:t>IEC 60068-2-27 or equivalent bump/repetitive shock test</w:t>
            </w:r>
          </w:p>
        </w:tc>
      </w:tr>
      <w:tr>
        <w:tc>
          <w:tcPr>
            <w:tcW w:type="dxa" w:w="1394"/>
            <w:vAlign w:val="center"/>
          </w:tcPr>
          <w:p>
            <w:r/>
            <w:r>
              <w:rPr>
                <w:b w:val="0"/>
                <w:sz w:val="15"/>
              </w:rPr>
              <w:t>Mounting retention</w:t>
            </w:r>
          </w:p>
        </w:tc>
        <w:tc>
          <w:tcPr>
            <w:tcW w:type="dxa" w:w="1394"/>
            <w:vAlign w:val="center"/>
          </w:tcPr>
          <w:p>
            <w:r/>
            <w:r>
              <w:rPr>
                <w:b w:val="0"/>
                <w:sz w:val="15"/>
              </w:rPr>
              <w:t>Standard industrial practice</w:t>
            </w:r>
          </w:p>
        </w:tc>
        <w:tc>
          <w:tcPr>
            <w:tcW w:type="dxa" w:w="1394"/>
            <w:vAlign w:val="center"/>
          </w:tcPr>
          <w:p>
            <w:r/>
            <w:r>
              <w:rPr>
                <w:b w:val="0"/>
                <w:sz w:val="15"/>
              </w:rPr>
              <w:t>Locking/secured outdoor mounting</w:t>
            </w:r>
          </w:p>
        </w:tc>
        <w:tc>
          <w:tcPr>
            <w:tcW w:type="dxa" w:w="1394"/>
            <w:vAlign w:val="center"/>
          </w:tcPr>
          <w:p>
            <w:r/>
            <w:r>
              <w:rPr>
                <w:b w:val="0"/>
                <w:sz w:val="15"/>
              </w:rPr>
              <w:t>Vibration-secured mounting and strain relief</w:t>
            </w:r>
          </w:p>
        </w:tc>
        <w:tc>
          <w:tcPr>
            <w:tcW w:type="dxa" w:w="1394"/>
            <w:vAlign w:val="center"/>
          </w:tcPr>
          <w:p>
            <w:r/>
            <w:r>
              <w:rPr>
                <w:b w:val="0"/>
                <w:sz w:val="15"/>
              </w:rPr>
              <w:t>Shock-secured mounting, locking fasteners and strain relief</w:t>
            </w:r>
          </w:p>
        </w:tc>
        <w:tc>
          <w:tcPr>
            <w:tcW w:type="dxa" w:w="1394"/>
            <w:vAlign w:val="center"/>
          </w:tcPr>
          <w:p>
            <w:r/>
            <w:r>
              <w:rPr>
                <w:b w:val="0"/>
                <w:sz w:val="15"/>
              </w:rPr>
              <w:t>Supplier design evidence, installation instruction, inspection plan and/or local mount test</w:t>
            </w:r>
          </w:p>
        </w:tc>
      </w:tr>
    </w:tbl>
    <w:p/>
    <w:p>
      <w:pPr>
        <w:pStyle w:val="Heading2"/>
      </w:pPr>
      <w:r>
        <w:t>3.3 Electrical and EMC requirements</w:t>
      </w:r>
    </w:p>
    <w:tbl>
      <w:tblPr>
        <w:tblStyle w:val="TableGrid"/>
        <w:tblW w:type="auto" w:w="0"/>
        <w:jc w:val="center"/>
        <w:tblLook w:firstColumn="1" w:firstRow="1" w:lastColumn="0" w:lastRow="0" w:noHBand="0" w:noVBand="1" w:val="04A0"/>
      </w:tblPr>
      <w:tblGrid>
        <w:gridCol w:w="2788"/>
        <w:gridCol w:w="2788"/>
        <w:gridCol w:w="2788"/>
      </w:tblGrid>
      <w:tr>
        <w:tc>
          <w:tcPr>
            <w:tcW w:type="dxa" w:w="2788"/>
            <w:vAlign w:val="center"/>
            <w:shd w:fill="D9EAF7"/>
          </w:tcPr>
          <w:p>
            <w:r/>
            <w:r>
              <w:rPr>
                <w:b/>
                <w:sz w:val="15"/>
              </w:rPr>
              <w:t>Requirement</w:t>
            </w:r>
          </w:p>
        </w:tc>
        <w:tc>
          <w:tcPr>
            <w:tcW w:type="dxa" w:w="2788"/>
            <w:vAlign w:val="center"/>
            <w:shd w:fill="D9EAF7"/>
          </w:tcPr>
          <w:p>
            <w:r/>
            <w:r>
              <w:rPr>
                <w:b/>
                <w:sz w:val="15"/>
              </w:rPr>
              <w:t>Internal level</w:t>
            </w:r>
          </w:p>
        </w:tc>
        <w:tc>
          <w:tcPr>
            <w:tcW w:type="dxa" w:w="2788"/>
            <w:vAlign w:val="center"/>
            <w:shd w:fill="D9EAF7"/>
          </w:tcPr>
          <w:p>
            <w:r/>
            <w:r>
              <w:rPr>
                <w:b/>
                <w:sz w:val="15"/>
              </w:rPr>
              <w:t>Preferred conformity standard / evidence</w:t>
            </w:r>
          </w:p>
        </w:tc>
      </w:tr>
      <w:tr>
        <w:tc>
          <w:tcPr>
            <w:tcW w:type="dxa" w:w="2788"/>
            <w:vAlign w:val="center"/>
          </w:tcPr>
          <w:p>
            <w:r/>
            <w:r>
              <w:rPr>
                <w:b w:val="0"/>
                <w:sz w:val="15"/>
              </w:rPr>
              <w:t>Main supply voltage</w:t>
            </w:r>
          </w:p>
        </w:tc>
        <w:tc>
          <w:tcPr>
            <w:tcW w:type="dxa" w:w="2788"/>
            <w:vAlign w:val="center"/>
          </w:tcPr>
          <w:p>
            <w:r/>
            <w:r>
              <w:rPr>
                <w:b w:val="0"/>
                <w:sz w:val="15"/>
              </w:rPr>
              <w:t>110-230 VAC ±15 %, 1-phase, 50/60 Hz unless otherwise specified</w:t>
            </w:r>
          </w:p>
        </w:tc>
        <w:tc>
          <w:tcPr>
            <w:tcW w:type="dxa" w:w="2788"/>
            <w:vAlign w:val="center"/>
          </w:tcPr>
          <w:p>
            <w:r/>
            <w:r>
              <w:rPr>
                <w:b w:val="0"/>
                <w:sz w:val="15"/>
              </w:rPr>
              <w:t>IEC 60038 and project electrical specification</w:t>
            </w:r>
          </w:p>
        </w:tc>
      </w:tr>
      <w:tr>
        <w:tc>
          <w:tcPr>
            <w:tcW w:type="dxa" w:w="2788"/>
            <w:vAlign w:val="center"/>
          </w:tcPr>
          <w:p>
            <w:r/>
            <w:r>
              <w:rPr>
                <w:b w:val="0"/>
                <w:sz w:val="15"/>
              </w:rPr>
              <w:t>Control voltage</w:t>
            </w:r>
          </w:p>
        </w:tc>
        <w:tc>
          <w:tcPr>
            <w:tcW w:type="dxa" w:w="2788"/>
            <w:vAlign w:val="center"/>
          </w:tcPr>
          <w:p>
            <w:r/>
            <w:r>
              <w:rPr>
                <w:b w:val="0"/>
                <w:sz w:val="15"/>
              </w:rPr>
              <w:t>12-48 VDC ±20 % unless otherwise specified</w:t>
            </w:r>
          </w:p>
        </w:tc>
        <w:tc>
          <w:tcPr>
            <w:tcW w:type="dxa" w:w="2788"/>
            <w:vAlign w:val="center"/>
          </w:tcPr>
          <w:p>
            <w:r/>
            <w:r>
              <w:rPr>
                <w:b w:val="0"/>
                <w:sz w:val="15"/>
              </w:rPr>
              <w:t>IEC 60204-1 and project electrical specification</w:t>
            </w:r>
          </w:p>
        </w:tc>
      </w:tr>
      <w:tr>
        <w:tc>
          <w:tcPr>
            <w:tcW w:type="dxa" w:w="2788"/>
            <w:vAlign w:val="center"/>
          </w:tcPr>
          <w:p>
            <w:r/>
            <w:r>
              <w:rPr>
                <w:b w:val="0"/>
                <w:sz w:val="15"/>
              </w:rPr>
              <w:t>Voltage dips</w:t>
            </w:r>
          </w:p>
        </w:tc>
        <w:tc>
          <w:tcPr>
            <w:tcW w:type="dxa" w:w="2788"/>
            <w:vAlign w:val="center"/>
          </w:tcPr>
          <w:p>
            <w:r/>
            <w:r>
              <w:rPr>
                <w:b w:val="0"/>
                <w:sz w:val="15"/>
              </w:rPr>
              <w:t>Class 3 performance unless project requirement differs</w:t>
            </w:r>
          </w:p>
        </w:tc>
        <w:tc>
          <w:tcPr>
            <w:tcW w:type="dxa" w:w="2788"/>
            <w:vAlign w:val="center"/>
          </w:tcPr>
          <w:p>
            <w:r/>
            <w:r>
              <w:rPr>
                <w:b w:val="0"/>
                <w:sz w:val="15"/>
              </w:rPr>
              <w:t>IEC 61000-4-11</w:t>
            </w:r>
          </w:p>
        </w:tc>
      </w:tr>
      <w:tr>
        <w:tc>
          <w:tcPr>
            <w:tcW w:type="dxa" w:w="2788"/>
            <w:vAlign w:val="center"/>
          </w:tcPr>
          <w:p>
            <w:r/>
            <w:r>
              <w:rPr>
                <w:b w:val="0"/>
                <w:sz w:val="15"/>
              </w:rPr>
              <w:t>Generic EMC immunity</w:t>
            </w:r>
          </w:p>
        </w:tc>
        <w:tc>
          <w:tcPr>
            <w:tcW w:type="dxa" w:w="2788"/>
            <w:vAlign w:val="center"/>
          </w:tcPr>
          <w:p>
            <w:r/>
            <w:r>
              <w:rPr>
                <w:b w:val="0"/>
                <w:sz w:val="15"/>
              </w:rPr>
              <w:t>Industrial environment</w:t>
            </w:r>
          </w:p>
        </w:tc>
        <w:tc>
          <w:tcPr>
            <w:tcW w:type="dxa" w:w="2788"/>
            <w:vAlign w:val="center"/>
          </w:tcPr>
          <w:p>
            <w:r/>
            <w:r>
              <w:rPr>
                <w:b w:val="0"/>
                <w:sz w:val="15"/>
              </w:rPr>
              <w:t>IEC 61000-6-2</w:t>
            </w:r>
          </w:p>
        </w:tc>
      </w:tr>
      <w:tr>
        <w:tc>
          <w:tcPr>
            <w:tcW w:type="dxa" w:w="2788"/>
            <w:vAlign w:val="center"/>
          </w:tcPr>
          <w:p>
            <w:r/>
            <w:r>
              <w:rPr>
                <w:b w:val="0"/>
                <w:sz w:val="15"/>
              </w:rPr>
              <w:t>Generic EMC emission</w:t>
            </w:r>
          </w:p>
        </w:tc>
        <w:tc>
          <w:tcPr>
            <w:tcW w:type="dxa" w:w="2788"/>
            <w:vAlign w:val="center"/>
          </w:tcPr>
          <w:p>
            <w:r/>
            <w:r>
              <w:rPr>
                <w:b w:val="0"/>
                <w:sz w:val="15"/>
              </w:rPr>
              <w:t>Industrial Class A</w:t>
            </w:r>
          </w:p>
        </w:tc>
        <w:tc>
          <w:tcPr>
            <w:tcW w:type="dxa" w:w="2788"/>
            <w:vAlign w:val="center"/>
          </w:tcPr>
          <w:p>
            <w:r/>
            <w:r>
              <w:rPr>
                <w:b w:val="0"/>
                <w:sz w:val="15"/>
              </w:rPr>
              <w:t>IEC 61000-6-4</w:t>
            </w:r>
          </w:p>
        </w:tc>
      </w:tr>
      <w:tr>
        <w:tc>
          <w:tcPr>
            <w:tcW w:type="dxa" w:w="2788"/>
            <w:vAlign w:val="center"/>
          </w:tcPr>
          <w:p>
            <w:r/>
            <w:r>
              <w:rPr>
                <w:b w:val="0"/>
                <w:sz w:val="15"/>
              </w:rPr>
              <w:t>ESD immunity</w:t>
            </w:r>
          </w:p>
        </w:tc>
        <w:tc>
          <w:tcPr>
            <w:tcW w:type="dxa" w:w="2788"/>
            <w:vAlign w:val="center"/>
          </w:tcPr>
          <w:p>
            <w:r/>
            <w:r>
              <w:rPr>
                <w:b w:val="0"/>
                <w:sz w:val="15"/>
              </w:rPr>
              <w:t>±8 kV contact, ±15 kV air</w:t>
            </w:r>
          </w:p>
        </w:tc>
        <w:tc>
          <w:tcPr>
            <w:tcW w:type="dxa" w:w="2788"/>
            <w:vAlign w:val="center"/>
          </w:tcPr>
          <w:p>
            <w:r/>
            <w:r>
              <w:rPr>
                <w:b w:val="0"/>
                <w:sz w:val="15"/>
              </w:rPr>
              <w:t>IEC 61000-4-2 Level 4</w:t>
            </w:r>
          </w:p>
        </w:tc>
      </w:tr>
      <w:tr>
        <w:tc>
          <w:tcPr>
            <w:tcW w:type="dxa" w:w="2788"/>
            <w:vAlign w:val="center"/>
          </w:tcPr>
          <w:p>
            <w:r/>
            <w:r>
              <w:rPr>
                <w:b w:val="0"/>
                <w:sz w:val="15"/>
              </w:rPr>
              <w:t>Radiated immunity</w:t>
            </w:r>
          </w:p>
        </w:tc>
        <w:tc>
          <w:tcPr>
            <w:tcW w:type="dxa" w:w="2788"/>
            <w:vAlign w:val="center"/>
          </w:tcPr>
          <w:p>
            <w:r/>
            <w:r>
              <w:rPr>
                <w:b w:val="0"/>
                <w:sz w:val="15"/>
              </w:rPr>
              <w:t>10 V/m, 80 MHz - 6 GHz</w:t>
            </w:r>
          </w:p>
        </w:tc>
        <w:tc>
          <w:tcPr>
            <w:tcW w:type="dxa" w:w="2788"/>
            <w:vAlign w:val="center"/>
          </w:tcPr>
          <w:p>
            <w:r/>
            <w:r>
              <w:rPr>
                <w:b w:val="0"/>
                <w:sz w:val="15"/>
              </w:rPr>
              <w:t>IEC 61000-4-3 Level 3</w:t>
            </w:r>
          </w:p>
        </w:tc>
      </w:tr>
      <w:tr>
        <w:tc>
          <w:tcPr>
            <w:tcW w:type="dxa" w:w="2788"/>
            <w:vAlign w:val="center"/>
          </w:tcPr>
          <w:p>
            <w:r/>
            <w:r>
              <w:rPr>
                <w:b w:val="0"/>
                <w:sz w:val="15"/>
              </w:rPr>
              <w:t>EFT / burst</w:t>
            </w:r>
          </w:p>
        </w:tc>
        <w:tc>
          <w:tcPr>
            <w:tcW w:type="dxa" w:w="2788"/>
            <w:vAlign w:val="center"/>
          </w:tcPr>
          <w:p>
            <w:r/>
            <w:r>
              <w:rPr>
                <w:b w:val="0"/>
                <w:sz w:val="15"/>
              </w:rPr>
              <w:t>±2 kV power, ±1 kV signal</w:t>
            </w:r>
          </w:p>
        </w:tc>
        <w:tc>
          <w:tcPr>
            <w:tcW w:type="dxa" w:w="2788"/>
            <w:vAlign w:val="center"/>
          </w:tcPr>
          <w:p>
            <w:r/>
            <w:r>
              <w:rPr>
                <w:b w:val="0"/>
                <w:sz w:val="15"/>
              </w:rPr>
              <w:t>IEC 61000-4-4 Level 3</w:t>
            </w:r>
          </w:p>
        </w:tc>
      </w:tr>
      <w:tr>
        <w:tc>
          <w:tcPr>
            <w:tcW w:type="dxa" w:w="2788"/>
            <w:vAlign w:val="center"/>
          </w:tcPr>
          <w:p>
            <w:r/>
            <w:r>
              <w:rPr>
                <w:b w:val="0"/>
                <w:sz w:val="15"/>
              </w:rPr>
              <w:t>Surge</w:t>
            </w:r>
          </w:p>
        </w:tc>
        <w:tc>
          <w:tcPr>
            <w:tcW w:type="dxa" w:w="2788"/>
            <w:vAlign w:val="center"/>
          </w:tcPr>
          <w:p>
            <w:r/>
            <w:r>
              <w:rPr>
                <w:b w:val="0"/>
                <w:sz w:val="15"/>
              </w:rPr>
              <w:t>4 kV line-earth, 2 kV line-line</w:t>
            </w:r>
          </w:p>
        </w:tc>
        <w:tc>
          <w:tcPr>
            <w:tcW w:type="dxa" w:w="2788"/>
            <w:vAlign w:val="center"/>
          </w:tcPr>
          <w:p>
            <w:r/>
            <w:r>
              <w:rPr>
                <w:b w:val="0"/>
                <w:sz w:val="15"/>
              </w:rPr>
              <w:t>IEC 61000-4-5 Level 4</w:t>
            </w:r>
          </w:p>
        </w:tc>
      </w:tr>
      <w:tr>
        <w:tc>
          <w:tcPr>
            <w:tcW w:type="dxa" w:w="2788"/>
            <w:vAlign w:val="center"/>
          </w:tcPr>
          <w:p>
            <w:r/>
            <w:r>
              <w:rPr>
                <w:b w:val="0"/>
                <w:sz w:val="15"/>
              </w:rPr>
              <w:t>Conducted immunity</w:t>
            </w:r>
          </w:p>
        </w:tc>
        <w:tc>
          <w:tcPr>
            <w:tcW w:type="dxa" w:w="2788"/>
            <w:vAlign w:val="center"/>
          </w:tcPr>
          <w:p>
            <w:r/>
            <w:r>
              <w:rPr>
                <w:b w:val="0"/>
                <w:sz w:val="15"/>
              </w:rPr>
              <w:t>10 V, 150 kHz - 80 MHz</w:t>
            </w:r>
          </w:p>
        </w:tc>
        <w:tc>
          <w:tcPr>
            <w:tcW w:type="dxa" w:w="2788"/>
            <w:vAlign w:val="center"/>
          </w:tcPr>
          <w:p>
            <w:r/>
            <w:r>
              <w:rPr>
                <w:b w:val="0"/>
                <w:sz w:val="15"/>
              </w:rPr>
              <w:t>IEC 61000-4-6 Level 3</w:t>
            </w:r>
          </w:p>
        </w:tc>
      </w:tr>
    </w:tbl>
    <w:p/>
    <w:p>
      <w:pPr>
        <w:pStyle w:val="Heading2"/>
      </w:pPr>
      <w:r>
        <w:t>3.4 Materials, coatings and supplier documentation</w:t>
      </w:r>
    </w:p>
    <w:tbl>
      <w:tblPr>
        <w:tblStyle w:val="TableGrid"/>
        <w:tblW w:type="auto" w:w="0"/>
        <w:jc w:val="center"/>
        <w:tblLook w:firstColumn="1" w:firstRow="1" w:lastColumn="0" w:lastRow="0" w:noHBand="0" w:noVBand="1" w:val="04A0"/>
      </w:tblPr>
      <w:tblGrid>
        <w:gridCol w:w="2788"/>
        <w:gridCol w:w="2788"/>
        <w:gridCol w:w="2788"/>
      </w:tblGrid>
      <w:tr>
        <w:tc>
          <w:tcPr>
            <w:tcW w:type="dxa" w:w="2788"/>
            <w:vAlign w:val="center"/>
            <w:shd w:fill="D9EAF7"/>
          </w:tcPr>
          <w:p>
            <w:r/>
            <w:r>
              <w:rPr>
                <w:b/>
                <w:sz w:val="15"/>
              </w:rPr>
              <w:t>Requirement area</w:t>
            </w:r>
          </w:p>
        </w:tc>
        <w:tc>
          <w:tcPr>
            <w:tcW w:type="dxa" w:w="2788"/>
            <w:vAlign w:val="center"/>
            <w:shd w:fill="D9EAF7"/>
          </w:tcPr>
          <w:p>
            <w:r/>
            <w:r>
              <w:rPr>
                <w:b/>
                <w:sz w:val="15"/>
              </w:rPr>
              <w:t>Internal requirement</w:t>
            </w:r>
          </w:p>
        </w:tc>
        <w:tc>
          <w:tcPr>
            <w:tcW w:type="dxa" w:w="2788"/>
            <w:vAlign w:val="center"/>
            <w:shd w:fill="D9EAF7"/>
          </w:tcPr>
          <w:p>
            <w:r/>
            <w:r>
              <w:rPr>
                <w:b/>
                <w:sz w:val="15"/>
              </w:rPr>
              <w:t>Preferred conformity standard / evidence</w:t>
            </w:r>
          </w:p>
        </w:tc>
      </w:tr>
      <w:tr>
        <w:tc>
          <w:tcPr>
            <w:tcW w:type="dxa" w:w="2788"/>
            <w:vAlign w:val="center"/>
          </w:tcPr>
          <w:p>
            <w:r/>
            <w:r>
              <w:rPr>
                <w:b w:val="0"/>
                <w:sz w:val="15"/>
              </w:rPr>
              <w:t>Coating system for outdoor carbon steel</w:t>
            </w:r>
          </w:p>
        </w:tc>
        <w:tc>
          <w:tcPr>
            <w:tcW w:type="dxa" w:w="2788"/>
            <w:vAlign w:val="center"/>
          </w:tcPr>
          <w:p>
            <w:r/>
            <w:r>
              <w:rPr>
                <w:b w:val="0"/>
                <w:sz w:val="15"/>
              </w:rPr>
              <w:t>Minimum high-durability outdoor/marine coating suitable for corrosive port environment</w:t>
            </w:r>
          </w:p>
        </w:tc>
        <w:tc>
          <w:tcPr>
            <w:tcW w:type="dxa" w:w="2788"/>
            <w:vAlign w:val="center"/>
          </w:tcPr>
          <w:p>
            <w:r/>
            <w:r>
              <w:rPr>
                <w:b w:val="0"/>
                <w:sz w:val="15"/>
              </w:rPr>
              <w:t>ISO 12944 C4-H system; qualification per ISO 12944-6 where applicable</w:t>
            </w:r>
          </w:p>
        </w:tc>
      </w:tr>
      <w:tr>
        <w:tc>
          <w:tcPr>
            <w:tcW w:type="dxa" w:w="2788"/>
            <w:vAlign w:val="center"/>
          </w:tcPr>
          <w:p>
            <w:r/>
            <w:r>
              <w:rPr>
                <w:b w:val="0"/>
                <w:sz w:val="15"/>
              </w:rPr>
              <w:t>Salt spray verification</w:t>
            </w:r>
          </w:p>
        </w:tc>
        <w:tc>
          <w:tcPr>
            <w:tcW w:type="dxa" w:w="2788"/>
            <w:vAlign w:val="center"/>
          </w:tcPr>
          <w:p>
            <w:r/>
            <w:r>
              <w:rPr>
                <w:b w:val="0"/>
                <w:sz w:val="15"/>
              </w:rPr>
              <w:t>1000 h neutral salt spray for outdoor zones</w:t>
            </w:r>
          </w:p>
        </w:tc>
        <w:tc>
          <w:tcPr>
            <w:tcW w:type="dxa" w:w="2788"/>
            <w:vAlign w:val="center"/>
          </w:tcPr>
          <w:p>
            <w:r/>
            <w:r>
              <w:rPr>
                <w:b w:val="0"/>
                <w:sz w:val="15"/>
              </w:rPr>
              <w:t>ISO 9227 NSS report</w:t>
            </w:r>
          </w:p>
        </w:tc>
      </w:tr>
      <w:tr>
        <w:tc>
          <w:tcPr>
            <w:tcW w:type="dxa" w:w="2788"/>
            <w:vAlign w:val="center"/>
          </w:tcPr>
          <w:p>
            <w:r/>
            <w:r>
              <w:rPr>
                <w:b w:val="0"/>
                <w:sz w:val="15"/>
              </w:rPr>
              <w:t>Hot-dip galvanized parts</w:t>
            </w:r>
          </w:p>
        </w:tc>
        <w:tc>
          <w:tcPr>
            <w:tcW w:type="dxa" w:w="2788"/>
            <w:vAlign w:val="center"/>
          </w:tcPr>
          <w:p>
            <w:r/>
            <w:r>
              <w:rPr>
                <w:b w:val="0"/>
                <w:sz w:val="15"/>
              </w:rPr>
              <w:t>Adequate zinc thickness for outdoor service</w:t>
            </w:r>
          </w:p>
        </w:tc>
        <w:tc>
          <w:tcPr>
            <w:tcW w:type="dxa" w:w="2788"/>
            <w:vAlign w:val="center"/>
          </w:tcPr>
          <w:p>
            <w:r/>
            <w:r>
              <w:rPr>
                <w:b w:val="0"/>
                <w:sz w:val="15"/>
              </w:rPr>
              <w:t>ISO 1461</w:t>
            </w:r>
          </w:p>
        </w:tc>
      </w:tr>
      <w:tr>
        <w:tc>
          <w:tcPr>
            <w:tcW w:type="dxa" w:w="2788"/>
            <w:vAlign w:val="center"/>
          </w:tcPr>
          <w:p>
            <w:r/>
            <w:r>
              <w:rPr>
                <w:b w:val="0"/>
                <w:sz w:val="15"/>
              </w:rPr>
              <w:t>Stainless fasteners/material</w:t>
            </w:r>
          </w:p>
        </w:tc>
        <w:tc>
          <w:tcPr>
            <w:tcW w:type="dxa" w:w="2788"/>
            <w:vAlign w:val="center"/>
          </w:tcPr>
          <w:p>
            <w:r/>
            <w:r>
              <w:rPr>
                <w:b w:val="0"/>
                <w:sz w:val="15"/>
              </w:rPr>
              <w:t>316L or A4 grade for exposed outdoor/high-corrosion areas where applicable</w:t>
            </w:r>
          </w:p>
        </w:tc>
        <w:tc>
          <w:tcPr>
            <w:tcW w:type="dxa" w:w="2788"/>
            <w:vAlign w:val="center"/>
          </w:tcPr>
          <w:p>
            <w:r/>
            <w:r>
              <w:rPr>
                <w:b w:val="0"/>
                <w:sz w:val="15"/>
              </w:rPr>
              <w:t>ISO 3506-1 for fasteners; material certificate for stainless grade</w:t>
            </w:r>
          </w:p>
        </w:tc>
      </w:tr>
      <w:tr>
        <w:tc>
          <w:tcPr>
            <w:tcW w:type="dxa" w:w="2788"/>
            <w:vAlign w:val="center"/>
          </w:tcPr>
          <w:p>
            <w:r/>
            <w:r>
              <w:rPr>
                <w:b w:val="0"/>
                <w:sz w:val="15"/>
              </w:rPr>
              <w:t>Aluminium parts</w:t>
            </w:r>
          </w:p>
        </w:tc>
        <w:tc>
          <w:tcPr>
            <w:tcW w:type="dxa" w:w="2788"/>
            <w:vAlign w:val="center"/>
          </w:tcPr>
          <w:p>
            <w:r/>
            <w:r>
              <w:rPr>
                <w:b w:val="0"/>
                <w:sz w:val="15"/>
              </w:rPr>
              <w:t>Marine-grade aluminium, anodized or otherwise protected where applicable</w:t>
            </w:r>
          </w:p>
        </w:tc>
        <w:tc>
          <w:tcPr>
            <w:tcW w:type="dxa" w:w="2788"/>
            <w:vAlign w:val="center"/>
          </w:tcPr>
          <w:p>
            <w:r/>
            <w:r>
              <w:rPr>
                <w:b w:val="0"/>
                <w:sz w:val="15"/>
              </w:rPr>
              <w:t>Material certificate; anodizing evidence per ISO 7599 where used</w:t>
            </w:r>
          </w:p>
        </w:tc>
      </w:tr>
      <w:tr>
        <w:tc>
          <w:tcPr>
            <w:tcW w:type="dxa" w:w="2788"/>
            <w:vAlign w:val="center"/>
          </w:tcPr>
          <w:p>
            <w:r/>
            <w:r>
              <w:rPr>
                <w:b w:val="0"/>
                <w:sz w:val="15"/>
              </w:rPr>
              <w:t>Elastomers</w:t>
            </w:r>
          </w:p>
        </w:tc>
        <w:tc>
          <w:tcPr>
            <w:tcW w:type="dxa" w:w="2788"/>
            <w:vAlign w:val="center"/>
          </w:tcPr>
          <w:p>
            <w:r/>
            <w:r>
              <w:rPr>
                <w:b w:val="0"/>
                <w:sz w:val="15"/>
              </w:rPr>
              <w:t>Ozone/weather resistant EPDM, silicone or Viton as applicable</w:t>
            </w:r>
          </w:p>
        </w:tc>
        <w:tc>
          <w:tcPr>
            <w:tcW w:type="dxa" w:w="2788"/>
            <w:vAlign w:val="center"/>
          </w:tcPr>
          <w:p>
            <w:r/>
            <w:r>
              <w:rPr>
                <w:b w:val="0"/>
                <w:sz w:val="15"/>
              </w:rPr>
              <w:t>Supplier material declaration; ozone resistance per ISO 1431-1 where relevant</w:t>
            </w:r>
          </w:p>
        </w:tc>
      </w:tr>
      <w:tr>
        <w:tc>
          <w:tcPr>
            <w:tcW w:type="dxa" w:w="2788"/>
            <w:vAlign w:val="center"/>
          </w:tcPr>
          <w:p>
            <w:r/>
            <w:r>
              <w:rPr>
                <w:b w:val="0"/>
                <w:sz w:val="15"/>
              </w:rPr>
              <w:t>Polymers</w:t>
            </w:r>
          </w:p>
        </w:tc>
        <w:tc>
          <w:tcPr>
            <w:tcW w:type="dxa" w:w="2788"/>
            <w:vAlign w:val="center"/>
          </w:tcPr>
          <w:p>
            <w:r/>
            <w:r>
              <w:rPr>
                <w:b w:val="0"/>
                <w:sz w:val="15"/>
              </w:rPr>
              <w:t>UV-stabilized for outdoor zones</w:t>
            </w:r>
          </w:p>
        </w:tc>
        <w:tc>
          <w:tcPr>
            <w:tcW w:type="dxa" w:w="2788"/>
            <w:vAlign w:val="center"/>
          </w:tcPr>
          <w:p>
            <w:r/>
            <w:r>
              <w:rPr>
                <w:b w:val="0"/>
                <w:sz w:val="15"/>
              </w:rPr>
              <w:t>Material declaration and UV test evidence, preferably ISO 4892-2</w:t>
            </w:r>
          </w:p>
        </w:tc>
      </w:tr>
      <w:tr>
        <w:tc>
          <w:tcPr>
            <w:tcW w:type="dxa" w:w="2788"/>
            <w:vAlign w:val="center"/>
          </w:tcPr>
          <w:p>
            <w:r/>
            <w:r>
              <w:rPr>
                <w:b w:val="0"/>
                <w:sz w:val="15"/>
              </w:rPr>
              <w:t>Material traceability</w:t>
            </w:r>
          </w:p>
        </w:tc>
        <w:tc>
          <w:tcPr>
            <w:tcW w:type="dxa" w:w="2788"/>
            <w:vAlign w:val="center"/>
          </w:tcPr>
          <w:p>
            <w:r/>
            <w:r>
              <w:rPr>
                <w:b w:val="0"/>
                <w:sz w:val="15"/>
              </w:rPr>
              <w:t>Traceability from raw material to finished product for critical components</w:t>
            </w:r>
          </w:p>
        </w:tc>
        <w:tc>
          <w:tcPr>
            <w:tcW w:type="dxa" w:w="2788"/>
            <w:vAlign w:val="center"/>
          </w:tcPr>
          <w:p>
            <w:r/>
            <w:r>
              <w:rPr>
                <w:b w:val="0"/>
                <w:sz w:val="15"/>
              </w:rPr>
              <w:t>EN 10204 Type 3.1 material certificate where applicable</w:t>
            </w:r>
          </w:p>
        </w:tc>
      </w:tr>
      <w:tr>
        <w:tc>
          <w:tcPr>
            <w:tcW w:type="dxa" w:w="2788"/>
            <w:vAlign w:val="center"/>
          </w:tcPr>
          <w:p>
            <w:r/>
            <w:r>
              <w:rPr>
                <w:b w:val="0"/>
                <w:sz w:val="15"/>
              </w:rPr>
              <w:t>Quality system</w:t>
            </w:r>
          </w:p>
        </w:tc>
        <w:tc>
          <w:tcPr>
            <w:tcW w:type="dxa" w:w="2788"/>
            <w:vAlign w:val="center"/>
          </w:tcPr>
          <w:p>
            <w:r/>
            <w:r>
              <w:rPr>
                <w:b w:val="0"/>
                <w:sz w:val="15"/>
              </w:rPr>
              <w:t>Documented quality management and inspection/test planning</w:t>
            </w:r>
          </w:p>
        </w:tc>
        <w:tc>
          <w:tcPr>
            <w:tcW w:type="dxa" w:w="2788"/>
            <w:vAlign w:val="center"/>
          </w:tcPr>
          <w:p>
            <w:r/>
            <w:r>
              <w:rPr>
                <w:b w:val="0"/>
                <w:sz w:val="15"/>
              </w:rPr>
              <w:t>ISO 9001:2015 certificate or ABB-approved equivalent quality evidence</w:t>
            </w:r>
          </w:p>
        </w:tc>
      </w:tr>
      <w:tr>
        <w:tc>
          <w:tcPr>
            <w:tcW w:type="dxa" w:w="2788"/>
            <w:vAlign w:val="center"/>
          </w:tcPr>
          <w:p>
            <w:r/>
            <w:r>
              <w:rPr>
                <w:b w:val="0"/>
                <w:sz w:val="15"/>
              </w:rPr>
              <w:t>Test laboratory</w:t>
            </w:r>
          </w:p>
        </w:tc>
        <w:tc>
          <w:tcPr>
            <w:tcW w:type="dxa" w:w="2788"/>
            <w:vAlign w:val="center"/>
          </w:tcPr>
          <w:p>
            <w:r/>
            <w:r>
              <w:rPr>
                <w:b w:val="0"/>
                <w:sz w:val="15"/>
              </w:rPr>
              <w:t>Independent test evidence for critical environmental/mechanical/EMC qualification</w:t>
            </w:r>
          </w:p>
        </w:tc>
        <w:tc>
          <w:tcPr>
            <w:tcW w:type="dxa" w:w="2788"/>
            <w:vAlign w:val="center"/>
          </w:tcPr>
          <w:p>
            <w:r/>
            <w:r>
              <w:rPr>
                <w:b w:val="0"/>
                <w:sz w:val="15"/>
              </w:rPr>
              <w:t>ISO/IEC 17025 accredited laboratory preferred</w:t>
            </w:r>
          </w:p>
        </w:tc>
      </w:tr>
    </w:tbl>
    <w:p/>
    <w:p>
      <w:pPr>
        <w:pStyle w:val="Heading1"/>
      </w:pPr>
      <w:r>
        <w:t>4. Environmental rationale</w:t>
      </w:r>
    </w:p>
    <w:p>
      <w:r>
        <w:t>The -20 °C to +55 °C operating range for outdoor zones covers worldwide port deployment, from cold climates to hot exposed steel structures. Storage is set wider at -30 °C to +70 °C because equipment can be transported or stored before commissioning without active climate control.</w:t>
      </w:r>
    </w:p>
    <w:p>
      <w:r>
        <w:t>IP66 is selected for outdoor zones because components are expected to withstand dust exposure and water jets from weather, cleaning and sea-adjacent operation. Zone A is limited to IP2X because it is installed in controlled rooms or protected cabinets.</w:t>
      </w:r>
    </w:p>
    <w:p>
      <w:r>
        <w:t>The humidity, salt-fog and salt-spray levels are intended to screen for long-term marine corrosion resistance. ISO 12944 C4-H and 1000 h neutral salt spray provide a practical supplier qualification target for outdoor components without creating different corrosion classes for each outdoor location.</w:t>
      </w:r>
    </w:p>
    <w:p>
      <w:pPr>
        <w:pStyle w:val="Heading1"/>
      </w:pPr>
      <w:r>
        <w:t>5. Mechanical performance rationale</w:t>
      </w:r>
    </w:p>
    <w:p>
      <w:r>
        <w:t>The mechanical levels are intentionally different between Zone C and Zone D. Zone C is not simply a lower version of Zone D: it has a specific sustained-vibration problem near the trolley, boom hinge and camera/sensor brackets. Zone D is dominated by short, high-energy shock events from spreader operation and container landing.</w:t>
      </w:r>
    </w:p>
    <w:tbl>
      <w:tblPr>
        <w:tblStyle w:val="TableGrid"/>
        <w:tblW w:type="auto" w:w="0"/>
        <w:jc w:val="center"/>
        <w:tblLook w:firstColumn="1" w:firstRow="1" w:lastColumn="0" w:lastRow="0" w:noHBand="0" w:noVBand="1" w:val="04A0"/>
      </w:tblPr>
      <w:tblGrid>
        <w:gridCol w:w="2788"/>
        <w:gridCol w:w="2788"/>
        <w:gridCol w:w="2788"/>
      </w:tblGrid>
      <w:tr>
        <w:tc>
          <w:tcPr>
            <w:tcW w:type="dxa" w:w="2788"/>
            <w:vAlign w:val="center"/>
            <w:shd w:fill="D9EAF7"/>
          </w:tcPr>
          <w:p>
            <w:r/>
            <w:r>
              <w:rPr>
                <w:b/>
                <w:sz w:val="15"/>
              </w:rPr>
              <w:t>Finding</w:t>
            </w:r>
          </w:p>
        </w:tc>
        <w:tc>
          <w:tcPr>
            <w:tcW w:type="dxa" w:w="2788"/>
            <w:vAlign w:val="center"/>
            <w:shd w:fill="D9EAF7"/>
          </w:tcPr>
          <w:p>
            <w:r/>
            <w:r>
              <w:rPr>
                <w:b/>
                <w:sz w:val="15"/>
              </w:rPr>
              <w:t>Engineering observation</w:t>
            </w:r>
          </w:p>
        </w:tc>
        <w:tc>
          <w:tcPr>
            <w:tcW w:type="dxa" w:w="2788"/>
            <w:vAlign w:val="center"/>
            <w:shd w:fill="D9EAF7"/>
          </w:tcPr>
          <w:p>
            <w:r/>
            <w:r>
              <w:rPr>
                <w:b/>
                <w:sz w:val="15"/>
              </w:rPr>
              <w:t>Specification consequence</w:t>
            </w:r>
          </w:p>
        </w:tc>
      </w:tr>
      <w:tr>
        <w:tc>
          <w:tcPr>
            <w:tcW w:type="dxa" w:w="2788"/>
            <w:vAlign w:val="center"/>
          </w:tcPr>
          <w:p>
            <w:r/>
            <w:r>
              <w:rPr>
                <w:b w:val="0"/>
                <w:sz w:val="15"/>
              </w:rPr>
              <w:t>Critical low-frequency lateral range</w:t>
            </w:r>
          </w:p>
        </w:tc>
        <w:tc>
          <w:tcPr>
            <w:tcW w:type="dxa" w:w="2788"/>
            <w:vAlign w:val="center"/>
          </w:tcPr>
          <w:p>
            <w:r/>
            <w:r>
              <w:rPr>
                <w:b w:val="0"/>
                <w:sz w:val="15"/>
              </w:rPr>
              <w:t>Camera/sensor performance can be sensitive to lateral vibration in the low-frequency range around crane trolley motion.</w:t>
            </w:r>
          </w:p>
        </w:tc>
        <w:tc>
          <w:tcPr>
            <w:tcW w:type="dxa" w:w="2788"/>
            <w:vAlign w:val="center"/>
          </w:tcPr>
          <w:p>
            <w:r/>
            <w:r>
              <w:rPr>
                <w:b w:val="0"/>
                <w:sz w:val="15"/>
              </w:rPr>
              <w:t>Zone C sinusoidal testing starts at 5 Hz and uses higher vibration levels than Zone B. Components in this zone need qualification through the low-frequency range.</w:t>
            </w:r>
          </w:p>
        </w:tc>
      </w:tr>
      <w:tr>
        <w:tc>
          <w:tcPr>
            <w:tcW w:type="dxa" w:w="2788"/>
            <w:vAlign w:val="center"/>
          </w:tcPr>
          <w:p>
            <w:r/>
            <w:r>
              <w:rPr>
                <w:b w:val="0"/>
                <w:sz w:val="15"/>
              </w:rPr>
              <w:t>Critical vertical range</w:t>
            </w:r>
          </w:p>
        </w:tc>
        <w:tc>
          <w:tcPr>
            <w:tcW w:type="dxa" w:w="2788"/>
            <w:vAlign w:val="center"/>
          </w:tcPr>
          <w:p>
            <w:r/>
            <w:r>
              <w:rPr>
                <w:b w:val="0"/>
                <w:sz w:val="15"/>
              </w:rPr>
              <w:t>Vertical bracket and camera dynamics can fall in the same range as crane structural excitation. Small frequency shifts and damping changes can noticeably affect functional performance.</w:t>
            </w:r>
          </w:p>
        </w:tc>
        <w:tc>
          <w:tcPr>
            <w:tcW w:type="dxa" w:w="2788"/>
            <w:vAlign w:val="center"/>
          </w:tcPr>
          <w:p>
            <w:r/>
            <w:r>
              <w:rPr>
                <w:b w:val="0"/>
                <w:sz w:val="15"/>
              </w:rPr>
              <w:t>Zone C requirements emphasize sustained vibration and require attention to bracket design, damping and mounting stiffness.</w:t>
            </w:r>
          </w:p>
        </w:tc>
      </w:tr>
      <w:tr>
        <w:tc>
          <w:tcPr>
            <w:tcW w:type="dxa" w:w="2788"/>
            <w:vAlign w:val="center"/>
          </w:tcPr>
          <w:p>
            <w:r/>
            <w:r>
              <w:rPr>
                <w:b w:val="0"/>
                <w:sz w:val="15"/>
              </w:rPr>
              <w:t>Waterside/trolley amplification</w:t>
            </w:r>
          </w:p>
        </w:tc>
        <w:tc>
          <w:tcPr>
            <w:tcW w:type="dxa" w:w="2788"/>
            <w:vAlign w:val="center"/>
          </w:tcPr>
          <w:p>
            <w:r/>
            <w:r>
              <w:rPr>
                <w:b w:val="0"/>
                <w:sz w:val="15"/>
              </w:rPr>
              <w:t>Waterside boom and trolley positions can see higher amplitudes than landside positions due to geometry and distance from fixed supports.</w:t>
            </w:r>
          </w:p>
        </w:tc>
        <w:tc>
          <w:tcPr>
            <w:tcW w:type="dxa" w:w="2788"/>
            <w:vAlign w:val="center"/>
          </w:tcPr>
          <w:p>
            <w:r/>
            <w:r>
              <w:rPr>
                <w:b w:val="0"/>
                <w:sz w:val="15"/>
              </w:rPr>
              <w:t>Zone C is assigned above Zone B for vibration and includes additional connector, strain-relief and mounting guidance.</w:t>
            </w:r>
          </w:p>
        </w:tc>
      </w:tr>
      <w:tr>
        <w:tc>
          <w:tcPr>
            <w:tcW w:type="dxa" w:w="2788"/>
            <w:vAlign w:val="center"/>
          </w:tcPr>
          <w:p>
            <w:r/>
            <w:r>
              <w:rPr>
                <w:b w:val="0"/>
                <w:sz w:val="15"/>
              </w:rPr>
              <w:t>Bracket amplification</w:t>
            </w:r>
          </w:p>
        </w:tc>
        <w:tc>
          <w:tcPr>
            <w:tcW w:type="dxa" w:w="2788"/>
            <w:vAlign w:val="center"/>
          </w:tcPr>
          <w:p>
            <w:r/>
            <w:r>
              <w:rPr>
                <w:b w:val="0"/>
                <w:sz w:val="15"/>
              </w:rPr>
              <w:t>Local brackets can amplify structure vibration significantly. Component-level exposure can therefore be higher than the supporting structure measurement alone suggests.</w:t>
            </w:r>
          </w:p>
        </w:tc>
        <w:tc>
          <w:tcPr>
            <w:tcW w:type="dxa" w:w="2788"/>
            <w:vAlign w:val="center"/>
          </w:tcPr>
          <w:p>
            <w:r/>
            <w:r>
              <w:rPr>
                <w:b w:val="0"/>
                <w:sz w:val="15"/>
              </w:rPr>
              <w:t>Component qualification should not rely only on supporting-structure measurements; bracket-mounted devices require local evaluation and secure mounting.</w:t>
            </w:r>
          </w:p>
        </w:tc>
      </w:tr>
      <w:tr>
        <w:tc>
          <w:tcPr>
            <w:tcW w:type="dxa" w:w="2788"/>
            <w:vAlign w:val="center"/>
          </w:tcPr>
          <w:p>
            <w:r/>
            <w:r>
              <w:rPr>
                <w:b w:val="0"/>
                <w:sz w:val="15"/>
              </w:rPr>
              <w:t>Shock exposure</w:t>
            </w:r>
          </w:p>
        </w:tc>
        <w:tc>
          <w:tcPr>
            <w:tcW w:type="dxa" w:w="2788"/>
            <w:vAlign w:val="center"/>
          </w:tcPr>
          <w:p>
            <w:r/>
            <w:r>
              <w:rPr>
                <w:b w:val="0"/>
                <w:sz w:val="15"/>
              </w:rPr>
              <w:t>Trolley and boom-hinge areas see moderate shock, while spreader equipment sees repeated impact loading from container handling.</w:t>
            </w:r>
          </w:p>
        </w:tc>
        <w:tc>
          <w:tcPr>
            <w:tcW w:type="dxa" w:w="2788"/>
            <w:vAlign w:val="center"/>
          </w:tcPr>
          <w:p>
            <w:r/>
            <w:r>
              <w:rPr>
                <w:b w:val="0"/>
                <w:sz w:val="15"/>
              </w:rPr>
              <w:t>Zone C is set to 8 g shock / 2000 bumps; Zone D is set to 50 g shock and 30 g / 4000 bumps.</w:t>
            </w:r>
          </w:p>
        </w:tc>
      </w:tr>
    </w:tbl>
    <w:p/>
    <w:p>
      <w:pPr>
        <w:pStyle w:val="Heading1"/>
      </w:pPr>
      <w:r>
        <w:t>6. Why the selected vibration and shock levels are used</w:t>
      </w:r>
    </w:p>
    <w:p>
      <w:r>
        <w:t>Zone B is set to 1.5 g sinusoidal vibration and 0.8 g RMS random vibration because general outdoor crane locations require industrial robustness but are not the primary source of the problematic camera/sensor dynamics seen in the measurement material.</w:t>
      </w:r>
    </w:p>
    <w:p>
      <w:r>
        <w:t>Zone C is set to 3.0 g sinusoidal vibration from 5-500 Hz and 1.5 g RMS random vibration because the available measurements show relevant low-frequency energy and modal behaviour in trolley and boom-hinge related installations. Starting the sine test at 5 Hz captures the low-frequency region that can affect camera and sensor performance.</w:t>
      </w:r>
    </w:p>
    <w:p>
      <w:r>
        <w:t>Zone D is set to 3.0 g sinusoidal vibration and 2.0 g RMS random vibration, but its defining requirement is shock: 50 g, 11 ms and 30 g repetitive bumps. This reflects spreader impact conditions and makes clear that a Zone D component is not automatically acceptable for Zone C unless it also satisfies the Zone C low-frequency vibration requirement.</w:t>
      </w:r>
    </w:p>
    <w:p>
      <w:pPr>
        <w:pStyle w:val="Heading1"/>
      </w:pPr>
      <w:r>
        <w:t>7. Design implications for ABB review</w:t>
      </w:r>
    </w:p>
    <w:p>
      <w:pPr>
        <w:pStyle w:val="ListBullet"/>
      </w:pPr>
      <w:r>
        <w:t>For Zone C camera, sensor and communication equipment, ask for local bracket/mount qualification, not only a component datasheet vibration rating.</w:t>
      </w:r>
    </w:p>
    <w:p>
      <w:pPr>
        <w:pStyle w:val="ListBullet"/>
      </w:pPr>
      <w:r>
        <w:t>Avoid undamped structural peaks in the low-frequency lateral range and the mid-low vertical range where camera and sensor performance can be affected.</w:t>
      </w:r>
    </w:p>
    <w:p>
      <w:pPr>
        <w:pStyle w:val="ListBullet"/>
      </w:pPr>
      <w:r>
        <w:t>A small frequency shift can matter. Peak width, damping and actual functional performance should be reviewed together.</w:t>
      </w:r>
    </w:p>
    <w:p>
      <w:pPr>
        <w:pStyle w:val="ListBullet"/>
      </w:pPr>
      <w:r>
        <w:t>Damping choices can reduce amplitude or shift frequencies; both effects should be reviewed together with actual functional performance, not only acceleration spectra.</w:t>
      </w:r>
    </w:p>
    <w:p>
      <w:pPr>
        <w:pStyle w:val="ListBullet"/>
      </w:pPr>
      <w:r>
        <w:t>Hoist manoeuvres were generally less critical in the reviewed STS material than trolley movement, but this should not be generalized to all crane types without site evidence.</w:t>
      </w:r>
    </w:p>
    <w:p>
      <w:pPr>
        <w:pStyle w:val="Heading1"/>
      </w:pPr>
      <w:r>
        <w:t>8. Handling deviations</w:t>
      </w:r>
    </w:p>
    <w:p>
      <w:r>
        <w:t>Supplier deviations should be judged by installation zone, component function and failure consequence. For non-critical Zone A/B components, equivalent standards or existing type-test evidence can be acceptable if they cover the stated environment. For Zone C/D components, deviations should normally require engineering review of the local mount, connector retention, cable strain relief, functional performance and available test evidence.</w:t>
      </w:r>
    </w:p>
    <w:p>
      <w:pPr>
        <w:pStyle w:val="Heading1"/>
      </w:pPr>
      <w:r>
        <w:t>9. Open points for future revisions</w:t>
      </w:r>
    </w:p>
    <w:p>
      <w:pPr>
        <w:pStyle w:val="ListBullet"/>
      </w:pPr>
      <w:r>
        <w:t>Define component categories where functional testing is required in addition to environmental qualification, especially camera and sensor assemblies.</w:t>
      </w:r>
    </w:p>
    <w:p>
      <w:pPr>
        <w:pStyle w:val="ListBullet"/>
      </w:pPr>
      <w:r>
        <w:t>Add bracket-level acceptance guidance for local amplification factors and damping verification.</w:t>
      </w:r>
    </w:p>
    <w:p>
      <w:pPr>
        <w:pStyle w:val="ListBullet"/>
      </w:pPr>
      <w:r>
        <w:t>Confirm whether Zone D shock values should be tailored by spreader type or kept as a single conservative class.</w:t>
      </w:r>
    </w:p>
    <w:p>
      <w:pPr>
        <w:pStyle w:val="ListBullet"/>
      </w:pPr>
      <w:r>
        <w:t>Add a deviation form or checklist linked to supplier quality approval.</w:t>
      </w:r>
    </w:p>
    <w:p>
      <w:pPr>
        <w:pStyle w:val="Heading1"/>
      </w:pPr>
      <w:r>
        <w:t>10. References</w:t>
      </w:r>
    </w:p>
    <w:p>
      <w:r>
        <w:t>The reports below are the supporting measurement references for this internal rationale. They are listed here to make the source material easy to locate; the supplier-facing document does not need to cite these reports.</w:t>
      </w:r>
    </w:p>
    <w:tbl>
      <w:tblPr>
        <w:tblStyle w:val="TableGrid"/>
        <w:tblW w:type="auto" w:w="0"/>
        <w:jc w:val="center"/>
        <w:tblLook w:firstColumn="1" w:firstRow="1" w:lastColumn="0" w:lastRow="0" w:noHBand="0" w:noVBand="1" w:val="04A0"/>
      </w:tblPr>
      <w:tblGrid>
        <w:gridCol w:w="4181"/>
        <w:gridCol w:w="4181"/>
      </w:tblGrid>
      <w:tr>
        <w:tc>
          <w:tcPr>
            <w:tcW w:type="dxa" w:w="4181"/>
            <w:vAlign w:val="center"/>
            <w:shd w:fill="D9EAF7"/>
          </w:tcPr>
          <w:p>
            <w:r/>
            <w:r>
              <w:rPr>
                <w:b/>
                <w:sz w:val="15"/>
              </w:rPr>
              <w:t>Reference</w:t>
            </w:r>
          </w:p>
        </w:tc>
        <w:tc>
          <w:tcPr>
            <w:tcW w:type="dxa" w:w="4181"/>
            <w:vAlign w:val="center"/>
            <w:shd w:fill="D9EAF7"/>
          </w:tcPr>
          <w:p>
            <w:r/>
            <w:r>
              <w:rPr>
                <w:b/>
                <w:sz w:val="15"/>
              </w:rPr>
              <w:t>File location</w:t>
            </w:r>
          </w:p>
        </w:tc>
      </w:tr>
      <w:tr>
        <w:tc>
          <w:tcPr>
            <w:tcW w:type="dxa" w:w="4181"/>
            <w:vAlign w:val="center"/>
          </w:tcPr>
          <w:p>
            <w:r/>
            <w:r>
              <w:rPr>
                <w:b w:val="0"/>
                <w:sz w:val="15"/>
              </w:rPr>
              <w:t>TR AVL1971 ABB-APMT CVU250 Rev2.0</w:t>
            </w:r>
          </w:p>
        </w:tc>
        <w:tc>
          <w:tcPr>
            <w:tcW w:type="dxa" w:w="4181"/>
            <w:vAlign w:val="center"/>
          </w:tcPr>
          <w:p>
            <w:r/>
            <w:r>
              <w:rPr>
                <w:b w:val="0"/>
                <w:sz w:val="15"/>
              </w:rPr>
              <w:t>test protocols/TR AVL1971 ABB-APMT CVU250 Rev2.0.docx</w:t>
            </w:r>
          </w:p>
        </w:tc>
      </w:tr>
      <w:tr>
        <w:tc>
          <w:tcPr>
            <w:tcW w:type="dxa" w:w="4181"/>
            <w:vAlign w:val="center"/>
          </w:tcPr>
          <w:p>
            <w:r/>
            <w:r>
              <w:rPr>
                <w:b w:val="0"/>
                <w:sz w:val="15"/>
              </w:rPr>
              <w:t>TR AVL1971 ABB-CWIT</w:t>
            </w:r>
          </w:p>
        </w:tc>
        <w:tc>
          <w:tcPr>
            <w:tcW w:type="dxa" w:w="4181"/>
            <w:vAlign w:val="center"/>
          </w:tcPr>
          <w:p>
            <w:r/>
            <w:r>
              <w:rPr>
                <w:b w:val="0"/>
                <w:sz w:val="15"/>
              </w:rPr>
              <w:t>test protocols/TR AVL1971 ABB-CWIT.docx</w:t>
            </w:r>
          </w:p>
        </w:tc>
      </w:tr>
      <w:tr>
        <w:tc>
          <w:tcPr>
            <w:tcW w:type="dxa" w:w="4181"/>
            <w:vAlign w:val="center"/>
          </w:tcPr>
          <w:p>
            <w:r/>
            <w:r>
              <w:rPr>
                <w:b w:val="0"/>
                <w:sz w:val="15"/>
              </w:rPr>
              <w:t>TR AVL1971 ABB-ZPMC</w:t>
            </w:r>
          </w:p>
        </w:tc>
        <w:tc>
          <w:tcPr>
            <w:tcW w:type="dxa" w:w="4181"/>
            <w:vAlign w:val="center"/>
          </w:tcPr>
          <w:p>
            <w:r/>
            <w:r>
              <w:rPr>
                <w:b w:val="0"/>
                <w:sz w:val="15"/>
              </w:rPr>
              <w:t>test protocols/TR AVL1971 ABB-ZPMC.docx</w:t>
            </w:r>
          </w:p>
        </w:tc>
      </w:tr>
      <w:tr>
        <w:tc>
          <w:tcPr>
            <w:tcW w:type="dxa" w:w="4181"/>
            <w:vAlign w:val="center"/>
          </w:tcPr>
          <w:p>
            <w:r/>
            <w:r>
              <w:rPr>
                <w:b w:val="0"/>
                <w:sz w:val="15"/>
              </w:rPr>
              <w:t>TR AVL1971 ABB-ARMG-A01_CWIT</w:t>
            </w:r>
          </w:p>
        </w:tc>
        <w:tc>
          <w:tcPr>
            <w:tcW w:type="dxa" w:w="4181"/>
            <w:vAlign w:val="center"/>
          </w:tcPr>
          <w:p>
            <w:r/>
            <w:r>
              <w:rPr>
                <w:b w:val="0"/>
                <w:sz w:val="15"/>
              </w:rPr>
              <w:t>test protocols/TR AVL1971 ABB-ARMG-A01_CWIT.docx</w:t>
            </w:r>
          </w:p>
        </w:tc>
      </w:tr>
      <w:tr>
        <w:tc>
          <w:tcPr>
            <w:tcW w:type="dxa" w:w="4181"/>
            <w:vAlign w:val="center"/>
          </w:tcPr>
          <w:p>
            <w:r/>
            <w:r>
              <w:rPr>
                <w:b w:val="0"/>
                <w:sz w:val="15"/>
              </w:rPr>
              <w:t>Mätning på kran 58</w:t>
            </w:r>
          </w:p>
        </w:tc>
        <w:tc>
          <w:tcPr>
            <w:tcW w:type="dxa" w:w="4181"/>
            <w:vAlign w:val="center"/>
          </w:tcPr>
          <w:p>
            <w:r/>
            <w:r>
              <w:rPr>
                <w:b w:val="0"/>
                <w:sz w:val="15"/>
              </w:rPr>
              <w:t>test protocols/Mätning på kran 58.docx</w:t>
            </w:r>
          </w:p>
        </w:tc>
      </w:tr>
    </w:tbl>
    <w:p/>
    <w:sectPr w:rsidR="00506374" w:rsidSect="00444CC4">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1276" w:right="1276" w:bottom="1389" w:left="2268" w:header="533"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85E2D" w14:textId="77777777" w:rsidR="00CB661B" w:rsidRDefault="00CB661B" w:rsidP="00C60D54">
      <w:pPr>
        <w:pStyle w:val="EndnoteSeparator"/>
      </w:pPr>
    </w:p>
  </w:endnote>
  <w:endnote w:type="continuationSeparator" w:id="0">
    <w:p w14:paraId="41CFEE49" w14:textId="77777777" w:rsidR="00CB661B" w:rsidRDefault="00CB661B" w:rsidP="00C60D54">
      <w:pPr>
        <w:pStyle w:val="EndnoteSeparatorcont"/>
      </w:pPr>
    </w:p>
  </w:endnote>
  <w:endnote w:type="continuationNotice" w:id="1">
    <w:p w14:paraId="3AB3069B" w14:textId="77777777" w:rsidR="00CB661B" w:rsidRDefault="00CB661B" w:rsidP="00C60D54">
      <w:pPr>
        <w:pStyle w:val="EndnoteContinuation"/>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Bvoice">
    <w:panose1 w:val="020D0603020503020204"/>
    <w:charset w:val="00"/>
    <w:family w:val="swiss"/>
    <w:pitch w:val="variable"/>
    <w:sig w:usb0="A10006FF" w:usb1="100060FB" w:usb2="00000028" w:usb3="00000000" w:csb0="0000001F" w:csb1="00000000"/>
  </w:font>
  <w:font w:name="ABBvoice Light">
    <w:panose1 w:val="020D0403020503020204"/>
    <w:charset w:val="00"/>
    <w:family w:val="swiss"/>
    <w:pitch w:val="variable"/>
    <w:sig w:usb0="A10006FF" w:usb1="100060FB" w:usb2="00000028" w:usb3="00000000" w:csb0="0000001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04483" w14:textId="77777777" w:rsidR="00BA5739" w:rsidRDefault="00BA5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BBFooterTable"/>
      <w:tblW w:w="9362" w:type="dxa"/>
      <w:tblInd w:w="-992" w:type="dxa"/>
      <w:tblLayout w:type="fixed"/>
      <w:tblLook w:val="0000" w:firstRow="0" w:lastRow="0" w:firstColumn="0" w:lastColumn="0" w:noHBand="0" w:noVBand="0"/>
    </w:tblPr>
    <w:tblGrid>
      <w:gridCol w:w="2693"/>
      <w:gridCol w:w="2127"/>
      <w:gridCol w:w="1842"/>
      <w:gridCol w:w="851"/>
      <w:gridCol w:w="992"/>
      <w:gridCol w:w="857"/>
    </w:tblGrid>
    <w:tr w:rsidR="0063692B" w:rsidRPr="009912B5" w14:paraId="39CF7559" w14:textId="77777777" w:rsidTr="005B1411">
      <w:tc>
        <w:tcPr>
          <w:tcW w:w="2693" w:type="dxa"/>
        </w:tcPr>
        <w:p w14:paraId="4A48ECB8" w14:textId="77777777" w:rsidR="0063692B" w:rsidRDefault="0063692B" w:rsidP="005B1411">
          <w:pPr>
            <w:pStyle w:val="FooterTableCaption"/>
          </w:pPr>
          <w:r>
            <w:t>Document ID</w:t>
          </w:r>
        </w:p>
        <w:sdt>
          <w:sdtPr>
            <w:alias w:val="Document ID"/>
            <w:tag w:val="ABB_Coll_DocumentId"/>
            <w:id w:val="-1794132937"/>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DocumentId[1]" w:storeItemID="{C8EA3A31-65DC-4805-AFED-FE1E599C345D}"/>
            <w:text/>
          </w:sdtPr>
          <w:sdtEndPr/>
          <w:sdtContent>
            <w:p w14:paraId="6AAE2828" w14:textId="1E1E3533" w:rsidR="0063692B" w:rsidRPr="0039320E" w:rsidRDefault="00292E2D" w:rsidP="005B1411">
              <w:pPr>
                <w:pStyle w:val="FooterTableDocumentID"/>
                <w:rPr>
                  <w:sz w:val="19"/>
                </w:rPr>
              </w:pPr>
              <w:r>
                <w:t>8MAD100016-0001</w:t>
              </w:r>
            </w:p>
          </w:sdtContent>
        </w:sdt>
      </w:tc>
      <w:tc>
        <w:tcPr>
          <w:tcW w:w="2127" w:type="dxa"/>
        </w:tcPr>
        <w:p w14:paraId="36477427" w14:textId="77777777" w:rsidR="0063692B" w:rsidRPr="009912B5" w:rsidRDefault="0063692B" w:rsidP="005B1411">
          <w:pPr>
            <w:pStyle w:val="FooterTableCaption"/>
          </w:pPr>
          <w:r w:rsidRPr="009912B5">
            <w:t>SECURITY LEVEL</w:t>
          </w:r>
        </w:p>
        <w:sdt>
          <w:sdtPr>
            <w:alias w:val="Security Level"/>
            <w:tag w:val="ABB_Coll_SecurityLevel"/>
            <w:id w:val="-532191249"/>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SecurityLevel[1]" w:storeItemID="{C8EA3A31-65DC-4805-AFED-FE1E599C345D}"/>
            <w:dropDownList w:lastValue="Confidential">
              <w:listItem w:value="[Security Level]"/>
            </w:dropDownList>
          </w:sdtPr>
          <w:sdtEndPr/>
          <w:sdtContent>
            <w:p w14:paraId="6E3FCC0A" w14:textId="689F44A5" w:rsidR="0063692B" w:rsidRPr="0039320E" w:rsidRDefault="00292E2D" w:rsidP="005B1411">
              <w:pPr>
                <w:pStyle w:val="FooterTableFieldText"/>
                <w:rPr>
                  <w:sz w:val="19"/>
                </w:rPr>
              </w:pPr>
              <w:r>
                <w:t>Confidential</w:t>
              </w:r>
            </w:p>
          </w:sdtContent>
        </w:sdt>
      </w:tc>
      <w:tc>
        <w:tcPr>
          <w:tcW w:w="1842" w:type="dxa"/>
        </w:tcPr>
        <w:p w14:paraId="20838D9A" w14:textId="77777777" w:rsidR="0063692B" w:rsidRPr="009912B5" w:rsidRDefault="0063692B" w:rsidP="005B1411">
          <w:pPr>
            <w:pStyle w:val="FooterTableCaption"/>
          </w:pPr>
          <w:r>
            <w:t>STATUS</w:t>
          </w:r>
        </w:p>
        <w:sdt>
          <w:sdtPr>
            <w:alias w:val="Lifecycle Status"/>
            <w:tag w:val="ABB_Coll_LifecycleStatus"/>
            <w:id w:val="-1792125197"/>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LifecycleStatus[1]" w:storeItemID="{C8EA3A31-65DC-4805-AFED-FE1E599C345D}"/>
            <w:dropDownList w:lastValue="Draft">
              <w:listItem w:value="[Lifecycle Status]"/>
            </w:dropDownList>
          </w:sdtPr>
          <w:sdtEndPr/>
          <w:sdtContent>
            <w:p w14:paraId="71DC0B0F" w14:textId="77777777" w:rsidR="0063692B" w:rsidRPr="0039320E" w:rsidRDefault="0063692B" w:rsidP="005B1411">
              <w:pPr>
                <w:pStyle w:val="FooterTableFieldText"/>
                <w:rPr>
                  <w:sz w:val="19"/>
                </w:rPr>
              </w:pPr>
              <w:r>
                <w:t>Draft</w:t>
              </w:r>
            </w:p>
          </w:sdtContent>
        </w:sdt>
      </w:tc>
      <w:tc>
        <w:tcPr>
          <w:tcW w:w="851" w:type="dxa"/>
        </w:tcPr>
        <w:p w14:paraId="21A12E8B" w14:textId="77777777" w:rsidR="0063692B" w:rsidRPr="009912B5" w:rsidRDefault="0063692B" w:rsidP="005B1411">
          <w:pPr>
            <w:pStyle w:val="FooterTableCaption"/>
          </w:pPr>
          <w:r w:rsidRPr="009912B5">
            <w:t>REV.</w:t>
          </w:r>
        </w:p>
        <w:sdt>
          <w:sdtPr>
            <w:alias w:val="Revision ID"/>
            <w:tag w:val="ABB_Coll_DocumentRevisionId"/>
            <w:id w:val="-472215244"/>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DocumentRevisionId[1]" w:storeItemID="{C8EA3A31-65DC-4805-AFED-FE1E599C345D}"/>
            <w:text/>
          </w:sdtPr>
          <w:sdtEndPr/>
          <w:sdtContent>
            <w:p w14:paraId="3F835A25" w14:textId="77777777" w:rsidR="0063692B" w:rsidRPr="009912B5" w:rsidRDefault="0063692B" w:rsidP="005B1411">
              <w:pPr>
                <w:pStyle w:val="FooterTableFieldText"/>
              </w:pPr>
              <w:r>
                <w:t>A</w:t>
              </w:r>
            </w:p>
          </w:sdtContent>
        </w:sdt>
      </w:tc>
      <w:tc>
        <w:tcPr>
          <w:tcW w:w="992" w:type="dxa"/>
        </w:tcPr>
        <w:p w14:paraId="2D261A81" w14:textId="77777777" w:rsidR="0063692B" w:rsidRPr="009912B5" w:rsidRDefault="0063692B" w:rsidP="005B1411">
          <w:pPr>
            <w:pStyle w:val="FooterTableCaption"/>
          </w:pPr>
          <w:r w:rsidRPr="009912B5">
            <w:t>LANG.</w:t>
          </w:r>
        </w:p>
        <w:sdt>
          <w:sdtPr>
            <w:alias w:val="Language Code"/>
            <w:tag w:val="o8cb8facb2054f9d919ea0674048ef40"/>
            <w:id w:val="672375234"/>
            <w:lock w:val="contentLocked"/>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o8cb8facb2054f9d919ea0674048ef40[1]/ns2:Terms[1]" w:storeItemID="{C8EA3A31-65DC-4805-AFED-FE1E599C345D}"/>
            <w:text w:multiLine="1"/>
          </w:sdtPr>
          <w:sdtEndPr/>
          <w:sdtContent>
            <w:p w14:paraId="29D39145" w14:textId="405CF6CD" w:rsidR="0063692B" w:rsidRPr="009912B5" w:rsidRDefault="00292E2D" w:rsidP="005B1411">
              <w:pPr>
                <w:pStyle w:val="FooterTableFieldText"/>
              </w:pPr>
              <w:r>
                <w:t>enUS</w:t>
              </w:r>
            </w:p>
          </w:sdtContent>
        </w:sdt>
      </w:tc>
      <w:tc>
        <w:tcPr>
          <w:tcW w:w="857" w:type="dxa"/>
        </w:tcPr>
        <w:p w14:paraId="3478C5B4" w14:textId="77777777" w:rsidR="0063692B" w:rsidRPr="009912B5" w:rsidRDefault="0063692B" w:rsidP="005B1411">
          <w:pPr>
            <w:pStyle w:val="FooterTableCaption"/>
          </w:pPr>
          <w:r w:rsidRPr="009912B5">
            <w:t>PAGE</w:t>
          </w:r>
        </w:p>
        <w:p w14:paraId="184568BA" w14:textId="77777777" w:rsidR="0063692B" w:rsidRPr="009912B5" w:rsidRDefault="0063692B" w:rsidP="005B1411">
          <w:pPr>
            <w:pStyle w:val="FooterTableFieldText"/>
          </w:pPr>
          <w:r w:rsidRPr="009912B5">
            <w:fldChar w:fldCharType="begin"/>
          </w:r>
          <w:r w:rsidRPr="009912B5">
            <w:instrText xml:space="preserve"> PAGE   \* MERGEFORMAT </w:instrText>
          </w:r>
          <w:r w:rsidRPr="009912B5">
            <w:fldChar w:fldCharType="separate"/>
          </w:r>
          <w:r>
            <w:t>2</w:t>
          </w:r>
          <w:r w:rsidRPr="009912B5">
            <w:fldChar w:fldCharType="end"/>
          </w:r>
          <w:r w:rsidRPr="009912B5">
            <w:t>/</w:t>
          </w:r>
          <w:fldSimple w:instr=" NUMPAGES   \* MERGEFORMAT ">
            <w:r>
              <w:t>5</w:t>
            </w:r>
          </w:fldSimple>
        </w:p>
      </w:tc>
    </w:tr>
    <w:tr w:rsidR="0063692B" w:rsidRPr="009912B5" w14:paraId="2C5A14EC" w14:textId="77777777" w:rsidTr="005B1411">
      <w:tc>
        <w:tcPr>
          <w:tcW w:w="9351" w:type="dxa"/>
          <w:gridSpan w:val="6"/>
        </w:tcPr>
        <w:p w14:paraId="66D59FA3" w14:textId="77777777" w:rsidR="0063692B" w:rsidRPr="009912B5" w:rsidRDefault="0063692B" w:rsidP="005B1411">
          <w:pPr>
            <w:pStyle w:val="FooterTableCopyright"/>
          </w:pPr>
          <w:r w:rsidRPr="008C4CC0">
            <w:t xml:space="preserve">© Copyright </w:t>
          </w:r>
          <w:r>
            <w:t>2021</w:t>
          </w:r>
          <w:r w:rsidRPr="008C4CC0">
            <w:t xml:space="preserve"> ABB. All rights reserved.</w:t>
          </w:r>
        </w:p>
      </w:tc>
    </w:tr>
  </w:tbl>
  <w:p w14:paraId="16E15A02" w14:textId="77777777" w:rsidR="00EB7572" w:rsidRPr="0063692B" w:rsidRDefault="00EB7572" w:rsidP="0063692B">
    <w:pPr>
      <w:pStyle w:val="Footer"/>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BBFooterTable"/>
      <w:tblW w:w="9356" w:type="dxa"/>
      <w:tblInd w:w="-992" w:type="dxa"/>
      <w:tblLayout w:type="fixed"/>
      <w:tblLook w:val="0000" w:firstRow="0" w:lastRow="0" w:firstColumn="0" w:lastColumn="0" w:noHBand="0" w:noVBand="0"/>
    </w:tblPr>
    <w:tblGrid>
      <w:gridCol w:w="4655"/>
      <w:gridCol w:w="2279"/>
      <w:gridCol w:w="707"/>
      <w:gridCol w:w="720"/>
      <w:gridCol w:w="995"/>
    </w:tblGrid>
    <w:tr w:rsidR="0063692B" w:rsidRPr="00E03AD7" w14:paraId="2F196F1E" w14:textId="77777777" w:rsidTr="005B1411">
      <w:tc>
        <w:tcPr>
          <w:tcW w:w="2487" w:type="pct"/>
        </w:tcPr>
        <w:p w14:paraId="71897166" w14:textId="77777777" w:rsidR="0063692B" w:rsidRPr="00E03AD7" w:rsidRDefault="0063692B" w:rsidP="005B1411">
          <w:pPr>
            <w:pStyle w:val="FooterTableCaption"/>
          </w:pPr>
          <w:r w:rsidRPr="00E03AD7">
            <w:t>PREPARED</w:t>
          </w:r>
        </w:p>
        <w:bookmarkStart w:id="45" w:name="_Hlk528680699"/>
        <w:p w14:paraId="40D03A02" w14:textId="07569C26" w:rsidR="0063692B" w:rsidRPr="00E03AD7" w:rsidRDefault="00127F49" w:rsidP="005B1411">
          <w:pPr>
            <w:pStyle w:val="FooterTableFieldText"/>
          </w:pPr>
          <w:sdt>
            <w:sdtPr>
              <w:rPr>
                <w:szCs w:val="20"/>
              </w:rPr>
              <w:alias w:val="Prepared Date"/>
              <w:tag w:val="ABB_Coll_PreparedDate"/>
              <w:id w:val="1674074612"/>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PreparedDate[1]" w:storeItemID="{C8EA3A31-65DC-4805-AFED-FE1E599C345D}"/>
              <w:date w:fullDate="2025-10-02T00:00:00Z">
                <w:dateFormat w:val="yyyy-MM-dd"/>
                <w:lid w:val="en-US"/>
                <w:storeMappedDataAs w:val="dateTime"/>
                <w:calendar w:val="gregorian"/>
              </w:date>
            </w:sdtPr>
            <w:sdtEndPr/>
            <w:sdtContent>
              <w:r w:rsidR="00292E2D">
                <w:rPr>
                  <w:szCs w:val="20"/>
                </w:rPr>
                <w:t>2025-10-02</w:t>
              </w:r>
            </w:sdtContent>
          </w:sdt>
          <w:r w:rsidR="0063692B">
            <w:rPr>
              <w:szCs w:val="20"/>
            </w:rPr>
            <w:tab/>
          </w:r>
          <w:bookmarkEnd w:id="45"/>
          <w:sdt>
            <w:sdtPr>
              <w:rPr>
                <w:szCs w:val="20"/>
              </w:rPr>
              <w:alias w:val="Prepared By Person"/>
              <w:tag w:val="ABB_Coll_PreparedByPerson"/>
              <w:id w:val="-2007197662"/>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PreparedByPerson[1]" w:storeItemID="{C8EA3A31-65DC-4805-AFED-FE1E599C345D}"/>
              <w:text/>
            </w:sdtPr>
            <w:sdtEndPr/>
            <w:sdtContent>
              <w:r w:rsidR="00292E2D">
                <w:rPr>
                  <w:szCs w:val="20"/>
                </w:rPr>
                <w:t>Mats Lundqvist</w:t>
              </w:r>
            </w:sdtContent>
          </w:sdt>
        </w:p>
      </w:tc>
      <w:tc>
        <w:tcPr>
          <w:tcW w:w="1218" w:type="pct"/>
        </w:tcPr>
        <w:p w14:paraId="0F4E448F" w14:textId="77777777" w:rsidR="0063692B" w:rsidRPr="00E03AD7" w:rsidRDefault="0063692B" w:rsidP="005B1411">
          <w:pPr>
            <w:pStyle w:val="FooterTableCaption"/>
          </w:pPr>
          <w:r w:rsidRPr="00E03AD7">
            <w:t>STATUS</w:t>
          </w:r>
        </w:p>
        <w:sdt>
          <w:sdtPr>
            <w:alias w:val="Lifecycle Status"/>
            <w:tag w:val="ABB_Coll_LifecycleStatus"/>
            <w:id w:val="311843004"/>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LifecycleStatus[1]" w:storeItemID="{C8EA3A31-65DC-4805-AFED-FE1E599C345D}"/>
            <w:dropDownList w:lastValue="Draft">
              <w:listItem w:value="[Lifecycle Status]"/>
            </w:dropDownList>
          </w:sdtPr>
          <w:sdtEndPr/>
          <w:sdtContent>
            <w:p w14:paraId="48A8CFA8" w14:textId="77777777" w:rsidR="0063692B" w:rsidRPr="00E03AD7" w:rsidRDefault="0063692B" w:rsidP="005B1411">
              <w:pPr>
                <w:pStyle w:val="FooterTableFieldText"/>
                <w:tabs>
                  <w:tab w:val="right" w:pos="9356"/>
                </w:tabs>
              </w:pPr>
              <w:r>
                <w:t>Draft</w:t>
              </w:r>
            </w:p>
          </w:sdtContent>
        </w:sdt>
      </w:tc>
      <w:tc>
        <w:tcPr>
          <w:tcW w:w="1295" w:type="pct"/>
          <w:gridSpan w:val="3"/>
        </w:tcPr>
        <w:p w14:paraId="0F33323B" w14:textId="77777777" w:rsidR="0063692B" w:rsidRPr="00E03AD7" w:rsidRDefault="0063692B" w:rsidP="005B1411">
          <w:pPr>
            <w:pStyle w:val="FooterTableCaption"/>
          </w:pPr>
          <w:r w:rsidRPr="00E03AD7">
            <w:t>SECURITY LEVEL</w:t>
          </w:r>
        </w:p>
        <w:sdt>
          <w:sdtPr>
            <w:alias w:val="Security Level"/>
            <w:tag w:val="ABB_Coll_SecurityLevel"/>
            <w:id w:val="-1522477117"/>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SecurityLevel[1]" w:storeItemID="{C8EA3A31-65DC-4805-AFED-FE1E599C345D}"/>
            <w:dropDownList w:lastValue="Confidential">
              <w:listItem w:value="[Security Level]"/>
            </w:dropDownList>
          </w:sdtPr>
          <w:sdtEndPr/>
          <w:sdtContent>
            <w:p w14:paraId="3A1ABEE0" w14:textId="04B23500" w:rsidR="0063692B" w:rsidRPr="00E03AD7" w:rsidRDefault="00292E2D" w:rsidP="005B1411">
              <w:pPr>
                <w:pStyle w:val="FooterTableFieldText"/>
              </w:pPr>
              <w:r>
                <w:t>Confidential</w:t>
              </w:r>
            </w:p>
          </w:sdtContent>
        </w:sdt>
      </w:tc>
    </w:tr>
    <w:tr w:rsidR="0063692B" w:rsidRPr="00E03AD7" w14:paraId="14874170" w14:textId="77777777" w:rsidTr="005B1411">
      <w:tc>
        <w:tcPr>
          <w:tcW w:w="2487" w:type="pct"/>
        </w:tcPr>
        <w:p w14:paraId="7DC8A045" w14:textId="77777777" w:rsidR="0063692B" w:rsidRPr="00E03AD7" w:rsidRDefault="0063692B" w:rsidP="005B1411">
          <w:pPr>
            <w:pStyle w:val="FooterTableCaption"/>
          </w:pPr>
          <w:r w:rsidRPr="00E03AD7">
            <w:t>APPROVED</w:t>
          </w:r>
        </w:p>
        <w:p w14:paraId="14B9771F" w14:textId="77777777" w:rsidR="0063692B" w:rsidRPr="00734218" w:rsidRDefault="00127F49" w:rsidP="005B1411">
          <w:pPr>
            <w:pStyle w:val="FooterTableFieldText"/>
          </w:pPr>
          <w:sdt>
            <w:sdtPr>
              <w:rPr>
                <w:szCs w:val="20"/>
              </w:rPr>
              <w:alias w:val="Approval Date"/>
              <w:tag w:val="ABB_Coll_ApprovalDate"/>
              <w:id w:val="-2048441701"/>
              <w:showingPlcHdr/>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ApprovalDate[1]" w:storeItemID="{C8EA3A31-65DC-4805-AFED-FE1E599C345D}"/>
              <w:date w:fullDate="2021-05-22T00:00:00Z">
                <w:dateFormat w:val="yyyy-MM-dd"/>
                <w:lid w:val="en-US"/>
                <w:storeMappedDataAs w:val="dateTime"/>
                <w:calendar w:val="gregorian"/>
              </w:date>
            </w:sdtPr>
            <w:sdtEndPr/>
            <w:sdtContent>
              <w:r w:rsidR="0063692B" w:rsidRPr="00857E78">
                <w:rPr>
                  <w:rStyle w:val="PlaceholderText"/>
                </w:rPr>
                <w:t>[Approval Date]</w:t>
              </w:r>
            </w:sdtContent>
          </w:sdt>
          <w:r w:rsidR="0063692B">
            <w:rPr>
              <w:szCs w:val="20"/>
            </w:rPr>
            <w:tab/>
          </w:r>
          <w:sdt>
            <w:sdtPr>
              <w:rPr>
                <w:szCs w:val="20"/>
              </w:rPr>
              <w:alias w:val="Approved By Person"/>
              <w:tag w:val="ABB_Coll_ApprovedByPerson"/>
              <w:id w:val="-934972495"/>
              <w:showingPlcHdr/>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ApprovedByPerson[1]" w:storeItemID="{C8EA3A31-65DC-4805-AFED-FE1E599C345D}"/>
              <w:text/>
            </w:sdtPr>
            <w:sdtEndPr/>
            <w:sdtContent>
              <w:r w:rsidR="0063692B" w:rsidRPr="00857E78">
                <w:rPr>
                  <w:rStyle w:val="PlaceholderText"/>
                </w:rPr>
                <w:t>[Approved By Person]</w:t>
              </w:r>
            </w:sdtContent>
          </w:sdt>
        </w:p>
      </w:tc>
      <w:tc>
        <w:tcPr>
          <w:tcW w:w="2513" w:type="pct"/>
          <w:gridSpan w:val="4"/>
        </w:tcPr>
        <w:p w14:paraId="2A1BA413" w14:textId="77777777" w:rsidR="0063692B" w:rsidRPr="00E03AD7" w:rsidRDefault="0063692B" w:rsidP="005B1411">
          <w:pPr>
            <w:pStyle w:val="FooterTableCaption"/>
          </w:pPr>
          <w:r w:rsidRPr="00E03AD7">
            <w:t>DOCUMENT KIND</w:t>
          </w:r>
        </w:p>
        <w:sdt>
          <w:sdtPr>
            <w:alias w:val="Document Kind"/>
            <w:tag w:val="na4369807a744182aff6832bcef961df"/>
            <w:id w:val="1955674847"/>
            <w:lock w:val="contentLocked"/>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na4369807a744182aff6832bcef961df[1]/ns2:Terms[1]" w:storeItemID="{C8EA3A31-65DC-4805-AFED-FE1E599C345D}"/>
            <w:text w:multiLine="1"/>
          </w:sdtPr>
          <w:sdtEndPr/>
          <w:sdtContent>
            <w:p w14:paraId="01722F25" w14:textId="5D23FE35" w:rsidR="0063692B" w:rsidRPr="00E03AD7" w:rsidRDefault="00292E2D" w:rsidP="005B1411">
              <w:pPr>
                <w:pStyle w:val="FooterTableFieldText"/>
              </w:pPr>
              <w:r>
                <w:t>Specification</w:t>
              </w:r>
            </w:p>
          </w:sdtContent>
        </w:sdt>
      </w:tc>
    </w:tr>
    <w:tr w:rsidR="0063692B" w:rsidRPr="00E03AD7" w14:paraId="7FBEB157" w14:textId="77777777" w:rsidTr="005B1411">
      <w:tc>
        <w:tcPr>
          <w:tcW w:w="2487" w:type="pct"/>
        </w:tcPr>
        <w:p w14:paraId="23E6127F" w14:textId="77777777" w:rsidR="0063692B" w:rsidRPr="00E03AD7" w:rsidRDefault="0063692B" w:rsidP="005B1411">
          <w:pPr>
            <w:pStyle w:val="FooterTableCaption"/>
            <w:rPr>
              <w:highlight w:val="yellow"/>
            </w:rPr>
          </w:pPr>
          <w:r w:rsidRPr="00E03AD7">
            <w:t>OWNING ORGANIZATION</w:t>
          </w:r>
        </w:p>
        <w:p w14:paraId="4C6068F1" w14:textId="3778A7AA" w:rsidR="0063692B" w:rsidRPr="00E03AD7" w:rsidRDefault="0063692B" w:rsidP="005B1411">
          <w:pPr>
            <w:pStyle w:val="FooterTableFieldText"/>
            <w:rPr>
              <w:highlight w:val="yellow"/>
            </w:rPr>
          </w:pPr>
          <w:r>
            <w:t xml:space="preserve">ABB </w:t>
          </w:r>
          <w:sdt>
            <w:sdtPr>
              <w:alias w:val="Owning Organization"/>
              <w:tag w:val="ABB_Coll_OwningOrganization"/>
              <w:id w:val="-1360203331"/>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OwningOrganization[1]" w:storeItemID="{C8EA3A31-65DC-4805-AFED-FE1E599C345D}"/>
              <w:text/>
            </w:sdtPr>
            <w:sdtEndPr/>
            <w:sdtContent>
              <w:r w:rsidR="00292E2D">
                <w:t>PAMP/KT</w:t>
              </w:r>
            </w:sdtContent>
          </w:sdt>
        </w:p>
      </w:tc>
      <w:tc>
        <w:tcPr>
          <w:tcW w:w="1218" w:type="pct"/>
        </w:tcPr>
        <w:p w14:paraId="29A6BCBB" w14:textId="77777777" w:rsidR="0063692B" w:rsidRPr="00E03AD7" w:rsidRDefault="0063692B" w:rsidP="005B1411">
          <w:pPr>
            <w:pStyle w:val="FooterTableCaption"/>
          </w:pPr>
          <w:r w:rsidRPr="00E03AD7">
            <w:t>DOCUMENT ID.</w:t>
          </w:r>
        </w:p>
        <w:sdt>
          <w:sdtPr>
            <w:alias w:val="Document ID"/>
            <w:tag w:val="ABB_Coll_DocumentId"/>
            <w:id w:val="835737651"/>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DocumentId[1]" w:storeItemID="{C8EA3A31-65DC-4805-AFED-FE1E599C345D}"/>
            <w:text/>
          </w:sdtPr>
          <w:sdtEndPr/>
          <w:sdtContent>
            <w:p w14:paraId="7CA3258D" w14:textId="78479FC5" w:rsidR="0063692B" w:rsidRPr="00E03AD7" w:rsidRDefault="00292E2D" w:rsidP="005B1411">
              <w:pPr>
                <w:pStyle w:val="FooterTableDocumentID"/>
              </w:pPr>
              <w:r>
                <w:t>8MAD100016-0001</w:t>
              </w:r>
            </w:p>
          </w:sdtContent>
        </w:sdt>
      </w:tc>
      <w:tc>
        <w:tcPr>
          <w:tcW w:w="378" w:type="pct"/>
        </w:tcPr>
        <w:p w14:paraId="19E48757" w14:textId="77777777" w:rsidR="0063692B" w:rsidRPr="00E03AD7" w:rsidRDefault="0063692B" w:rsidP="005B1411">
          <w:pPr>
            <w:pStyle w:val="FooterTableCaption"/>
          </w:pPr>
          <w:r w:rsidRPr="00E03AD7">
            <w:t>REV.</w:t>
          </w:r>
        </w:p>
        <w:sdt>
          <w:sdtPr>
            <w:alias w:val="Revision ID"/>
            <w:tag w:val="ABB_Coll_DocumentRevisionId"/>
            <w:id w:val="-1354878571"/>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ABB_Coll_DocumentRevisionId[1]" w:storeItemID="{C8EA3A31-65DC-4805-AFED-FE1E599C345D}"/>
            <w:text/>
          </w:sdtPr>
          <w:sdtEndPr/>
          <w:sdtContent>
            <w:p w14:paraId="6F28C47B" w14:textId="77777777" w:rsidR="0063692B" w:rsidRPr="00E03AD7" w:rsidRDefault="0063692B" w:rsidP="005B1411">
              <w:pPr>
                <w:pStyle w:val="FooterTableFieldText"/>
              </w:pPr>
              <w:r>
                <w:t>A</w:t>
              </w:r>
            </w:p>
          </w:sdtContent>
        </w:sdt>
      </w:tc>
      <w:tc>
        <w:tcPr>
          <w:tcW w:w="385" w:type="pct"/>
        </w:tcPr>
        <w:p w14:paraId="0A06A583" w14:textId="77777777" w:rsidR="0063692B" w:rsidRPr="00E03AD7" w:rsidRDefault="0063692B" w:rsidP="005B1411">
          <w:pPr>
            <w:pStyle w:val="FooterTableCaption"/>
          </w:pPr>
          <w:r w:rsidRPr="00E03AD7">
            <w:t>LANG.</w:t>
          </w:r>
        </w:p>
        <w:sdt>
          <w:sdtPr>
            <w:alias w:val="Language Code"/>
            <w:tag w:val="o8cb8facb2054f9d919ea0674048ef40"/>
            <w:id w:val="430239492"/>
            <w:lock w:val="contentLocked"/>
            <w:dataBinding w:prefixMappings="xmlns:ns0='http://schemas.microsoft.com/office/2006/metadata/properties' xmlns:ns1='http://www.w3.org/2001/XMLSchema-instance' xmlns:ns2='http://schemas.microsoft.com/office/infopath/2007/PartnerControls' xmlns:ns3='71d29222-2c5f-45ad-9aa5-4c2d15fddbe9' xmlns:ns4='http://schemas.microsoft.com/sharepoint/v4' xmlns:ns5='7c334bf6-7a07-4a62-a3bf-f23be8b00c66' xmlns:ns6='92dfc232-889f-4d9e-b8ca-142e2cc27bf4' xmlns:ns7='60508742-a68d-4de1-9171-a20f81576189' xmlns:ns8='6ad8ad55-d2bb-4db8-9be9-873f161ba40c' " w:xpath="/ns0:properties[1]/documentManagement[1]/ns3:o8cb8facb2054f9d919ea0674048ef40[1]/ns2:Terms[1]" w:storeItemID="{C8EA3A31-65DC-4805-AFED-FE1E599C345D}"/>
            <w:text w:multiLine="1"/>
          </w:sdtPr>
          <w:sdtEndPr/>
          <w:sdtContent>
            <w:p w14:paraId="3C084BC3" w14:textId="25BB442B" w:rsidR="0063692B" w:rsidRPr="00E03AD7" w:rsidRDefault="00292E2D" w:rsidP="005B1411">
              <w:pPr>
                <w:pStyle w:val="FooterTableFieldText"/>
              </w:pPr>
              <w:r>
                <w:t>enUS</w:t>
              </w:r>
            </w:p>
          </w:sdtContent>
        </w:sdt>
      </w:tc>
      <w:tc>
        <w:tcPr>
          <w:tcW w:w="532" w:type="pct"/>
        </w:tcPr>
        <w:p w14:paraId="254F4205" w14:textId="77777777" w:rsidR="0063692B" w:rsidRPr="00E03AD7" w:rsidRDefault="0063692B" w:rsidP="005B1411">
          <w:pPr>
            <w:pStyle w:val="FooterTableCaption"/>
          </w:pPr>
          <w:r w:rsidRPr="00E03AD7">
            <w:t>PAGE</w:t>
          </w:r>
        </w:p>
        <w:p w14:paraId="6CA48CE9" w14:textId="77777777" w:rsidR="0063692B" w:rsidRPr="00E03AD7" w:rsidRDefault="0063692B" w:rsidP="005B1411">
          <w:pPr>
            <w:pStyle w:val="FooterTableFieldText"/>
          </w:pPr>
          <w:r w:rsidRPr="008C4CC0">
            <w:rPr>
              <w:szCs w:val="16"/>
            </w:rPr>
            <w:fldChar w:fldCharType="begin"/>
          </w:r>
          <w:r w:rsidRPr="008C4CC0">
            <w:rPr>
              <w:szCs w:val="16"/>
            </w:rPr>
            <w:instrText xml:space="preserve"> PAGE   \* MERGEFORMAT </w:instrText>
          </w:r>
          <w:r w:rsidRPr="008C4CC0">
            <w:rPr>
              <w:szCs w:val="16"/>
            </w:rPr>
            <w:fldChar w:fldCharType="separate"/>
          </w:r>
          <w:r>
            <w:rPr>
              <w:szCs w:val="16"/>
            </w:rPr>
            <w:t>1</w:t>
          </w:r>
          <w:r w:rsidRPr="008C4CC0">
            <w:rPr>
              <w:szCs w:val="16"/>
            </w:rPr>
            <w:fldChar w:fldCharType="end"/>
          </w:r>
          <w:r w:rsidRPr="008C4CC0">
            <w:rPr>
              <w:szCs w:val="16"/>
            </w:rPr>
            <w:t>/</w:t>
          </w:r>
          <w:r w:rsidRPr="008C4CC0">
            <w:rPr>
              <w:szCs w:val="16"/>
            </w:rPr>
            <w:fldChar w:fldCharType="begin"/>
          </w:r>
          <w:r w:rsidRPr="008C4CC0">
            <w:rPr>
              <w:szCs w:val="16"/>
            </w:rPr>
            <w:instrText xml:space="preserve"> NUMPAGES   \* MERGEFORMAT </w:instrText>
          </w:r>
          <w:r w:rsidRPr="008C4CC0">
            <w:rPr>
              <w:szCs w:val="16"/>
            </w:rPr>
            <w:fldChar w:fldCharType="separate"/>
          </w:r>
          <w:r>
            <w:rPr>
              <w:szCs w:val="16"/>
            </w:rPr>
            <w:t>5</w:t>
          </w:r>
          <w:r w:rsidRPr="008C4CC0">
            <w:rPr>
              <w:szCs w:val="16"/>
            </w:rPr>
            <w:fldChar w:fldCharType="end"/>
          </w:r>
        </w:p>
      </w:tc>
    </w:tr>
    <w:tr w:rsidR="0063692B" w:rsidRPr="000E0F7D" w14:paraId="73632BB4" w14:textId="77777777" w:rsidTr="005B1411">
      <w:tc>
        <w:tcPr>
          <w:tcW w:w="5000" w:type="pct"/>
          <w:gridSpan w:val="5"/>
        </w:tcPr>
        <w:p w14:paraId="51A6499F" w14:textId="77777777" w:rsidR="0063692B" w:rsidRPr="000E0F7D" w:rsidRDefault="0063692B" w:rsidP="005B1411">
          <w:pPr>
            <w:pStyle w:val="FooterTableCopyright"/>
          </w:pPr>
          <w:r w:rsidRPr="000E0F7D">
            <w:t>© Copyright</w:t>
          </w:r>
          <w:r>
            <w:t xml:space="preserve"> 2021</w:t>
          </w:r>
          <w:r w:rsidRPr="000E0F7D">
            <w:t xml:space="preserve"> ABB. All rights reserved.</w:t>
          </w:r>
        </w:p>
      </w:tc>
    </w:tr>
  </w:tbl>
  <w:p w14:paraId="3E909B84" w14:textId="77777777" w:rsidR="004E274C" w:rsidRPr="0063692B" w:rsidRDefault="004E274C" w:rsidP="0063692B">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AF757" w14:textId="77777777" w:rsidR="00CB661B" w:rsidRDefault="00CB661B" w:rsidP="004266B9">
      <w:pPr>
        <w:pStyle w:val="FootnoteSeparator"/>
      </w:pPr>
    </w:p>
  </w:footnote>
  <w:footnote w:type="continuationSeparator" w:id="0">
    <w:p w14:paraId="44839CC0" w14:textId="77777777" w:rsidR="00CB661B" w:rsidRDefault="00CB661B" w:rsidP="004266B9">
      <w:pPr>
        <w:pStyle w:val="FootnoteSeparatorcont"/>
      </w:pPr>
    </w:p>
  </w:footnote>
  <w:footnote w:type="continuationNotice" w:id="1">
    <w:p w14:paraId="014966ED" w14:textId="77777777" w:rsidR="00CB661B" w:rsidRDefault="00CB661B" w:rsidP="004266B9">
      <w:pPr>
        <w:pStyle w:val="FootnoteContinuation"/>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B7B5B" w14:textId="77777777" w:rsidR="00BA5739" w:rsidRDefault="00BA57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6E302" w14:textId="0CEED428" w:rsidR="00987223" w:rsidRPr="007257FA" w:rsidRDefault="00981245" w:rsidP="00DF6EEA">
    <w:pPr>
      <w:pStyle w:val="Header"/>
    </w:pPr>
    <w:r>
      <w:tab/>
    </w:r>
    <w:sdt>
      <w:sdtPr>
        <w:alias w:val="Document Kind"/>
        <w:tag w:val="na4369807a744182aff6832bcef961df"/>
        <w:id w:val="2106450582"/>
        <w:lock w:val="contentLocked"/>
        <w:dataBinding w:prefixMappings="xmlns:ns0='http://schemas.microsoft.com/office/2006/metadata/properties' xmlns:ns1='http://www.w3.org/2001/XMLSchema-instance' xmlns:ns2='http://schemas.microsoft.com/office/infopath/2007/PartnerControls' xmlns:ns3='71d29222-2c5f-45ad-9aa5-4c2d15fddbe9' " w:xpath="/ns0:properties[1]/documentManagement[1]/ns3:na4369807a744182aff6832bcef961df[1]/ns2:Terms[1]" w:storeItemID="{C8EA3A31-65DC-4805-AFED-FE1E599C345D}"/>
        <w:text w:multiLine="1"/>
      </w:sdtPr>
      <w:sdtEndPr/>
      <w:sdtContent>
        <w:r w:rsidR="00292E2D">
          <w:t>Specification</w:t>
        </w:r>
      </w:sdtContent>
    </w:sdt>
    <w:r w:rsidR="00444CC4">
      <w:t xml:space="preserve">, </w:t>
    </w:r>
    <w:sdt>
      <w:sdtPr>
        <w:rPr>
          <w:b/>
          <w:bCs/>
          <w:color w:val="6E6E6E" w:themeColor="accent2"/>
        </w:rPr>
        <w:alias w:val="Title"/>
        <w:tag w:val=""/>
        <w:id w:val="1875885470"/>
        <w:dataBinding w:prefixMappings="xmlns:ns0='http://purl.org/dc/elements/1.1/' xmlns:ns1='http://schemas.openxmlformats.org/package/2006/metadata/core-properties' " w:xpath="/ns1:coreProperties[1]/ns0:title[1]" w:storeItemID="{6C3C8BC8-F283-45AE-878A-BAB7291924A1}"/>
        <w:text/>
      </w:sdtPr>
      <w:sdtEndPr/>
      <w:sdtContent>
        <w:r w:rsidR="00292E2D">
          <w:rPr>
            <w:b/>
            <w:bCs/>
            <w:color w:val="6E6E6E" w:themeColor="accent2"/>
          </w:rPr>
          <w:t>Product Specification for RCM</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DCB46" w14:textId="77777777" w:rsidR="00987223" w:rsidRDefault="00987223" w:rsidP="00981245">
    <w:pPr>
      <w:pStyle w:val="Header"/>
    </w:pPr>
    <w:r>
      <w:rPr>
        <w:noProof/>
        <w:lang w:eastAsia="de-CH"/>
      </w:rPr>
      <mc:AlternateContent>
        <mc:Choice Requires="wpg">
          <w:drawing>
            <wp:anchor distT="0" distB="0" distL="114300" distR="114300" simplePos="0" relativeHeight="251658240" behindDoc="1" locked="1" layoutInCell="1" allowOverlap="1" wp14:anchorId="48AC0242" wp14:editId="09DF7A97">
              <wp:simplePos x="0" y="0"/>
              <wp:positionH relativeFrom="page">
                <wp:align>right</wp:align>
              </wp:positionH>
              <wp:positionV relativeFrom="page">
                <wp:align>top</wp:align>
              </wp:positionV>
              <wp:extent cx="1439640" cy="899280"/>
              <wp:effectExtent l="0" t="0" r="0" b="0"/>
              <wp:wrapNone/>
              <wp:docPr id="2" name="Gruppieren 2"/>
              <wp:cNvGraphicFramePr/>
              <a:graphic xmlns:a="http://schemas.openxmlformats.org/drawingml/2006/main">
                <a:graphicData uri="http://schemas.microsoft.com/office/word/2010/wordprocessingGroup">
                  <wpg:wgp>
                    <wpg:cNvGrpSpPr/>
                    <wpg:grpSpPr>
                      <a:xfrm>
                        <a:off x="0" y="0"/>
                        <a:ext cx="1439640" cy="899280"/>
                        <a:chOff x="0" y="0"/>
                        <a:chExt cx="1439640" cy="899640"/>
                      </a:xfrm>
                    </wpg:grpSpPr>
                    <wps:wsp>
                      <wps:cNvPr id="3" name="Rechteck 1"/>
                      <wps:cNvSpPr/>
                      <wps:spPr bwMode="gray">
                        <a:xfrm>
                          <a:off x="0" y="0"/>
                          <a:ext cx="1439640" cy="8996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Grafik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7625" y="342900"/>
                          <a:ext cx="1038225" cy="4476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D2D56E" id="Gruppieren 2" o:spid="_x0000_s1026" style="position:absolute;margin-left:62.15pt;margin-top:0;width:113.35pt;height:70.8pt;z-index:-251658240;mso-position-horizontal:right;mso-position-horizontal-relative:page;mso-position-vertical:top;mso-position-vertical-relative:page;mso-width-relative:margin;mso-height-relative:margin" coordsize="14396,8996"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">
              <v:rect id="Rechteck 1" o:spid="_x0000_s1027" style="position:absolute;width:14396;height:8996;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" filled="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8" type="#_x0000_t75" style="position:absolute;left:476;top:3429;width:10382;height:4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">
                <v:imagedata r:id="rId2" o:title=""/>
              </v:shape>
              <w10:wrap anchorx="page" anchory="page"/>
              <w10:anchorlock/>
            </v:group>
          </w:pict>
        </mc:Fallback>
      </mc:AlternateContent>
    </w:r>
    <w:r>
      <w:rPr>
        <w:noProof/>
        <w:lang w:eastAsia="de-CH"/>
      </w:rPr>
      <mc:AlternateContent>
        <mc:Choice Requires="wps">
          <w:drawing>
            <wp:anchor distT="0" distB="0" distL="114300" distR="114300" simplePos="0" relativeHeight="251660288" behindDoc="0" locked="1" layoutInCell="1" allowOverlap="1" wp14:anchorId="5D6EB9D0" wp14:editId="7BDB3AEC">
              <wp:simplePos x="0" y="0"/>
              <wp:positionH relativeFrom="margin">
                <wp:align>right</wp:align>
              </wp:positionH>
              <wp:positionV relativeFrom="margin">
                <wp:align>top</wp:align>
              </wp:positionV>
              <wp:extent cx="5934240" cy="687600"/>
              <wp:effectExtent l="0" t="0" r="0" b="0"/>
              <wp:wrapTopAndBottom/>
              <wp:docPr id="6" name="Rectangle 6"/>
              <wp:cNvGraphicFramePr/>
              <a:graphic xmlns:a="http://schemas.openxmlformats.org/drawingml/2006/main">
                <a:graphicData uri="http://schemas.microsoft.com/office/word/2010/wordprocessingShape">
                  <wps:wsp>
                    <wps:cNvSpPr/>
                    <wps:spPr bwMode="gray">
                      <a:xfrm>
                        <a:off x="0" y="0"/>
                        <a:ext cx="5934240" cy="687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DCDBA" id="Rectangle 6" o:spid="_x0000_s1026" style="position:absolute;margin-left:416.05pt;margin-top:0;width:467.25pt;height:54.1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" filled="f" stroked="f" strokeweight="2pt">
              <w10:wrap type="topAndBottom" anchorx="margin" anchory="margin"/>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E495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D1C8B3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B22374C"/>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2EB43E72"/>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BAC811A4"/>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CFE2CEE"/>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9F54F2B0"/>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019E335E"/>
    <w:multiLevelType w:val="hybridMultilevel"/>
    <w:tmpl w:val="D65C0828"/>
    <w:lvl w:ilvl="0" w:tplc="6404794E">
      <w:start w:val="1"/>
      <w:numFmt w:val="bullet"/>
      <w:lvlText w:val=""/>
      <w:lvlJc w:val="left"/>
      <w:pPr>
        <w:ind w:left="1004" w:hanging="360"/>
      </w:pPr>
      <w:rPr>
        <w:rFonts w:ascii="Symbol" w:hAnsi="Symbol" w:hint="default"/>
        <w:color w:val="auto"/>
        <w:u w:color="D90000" w:themeColor="text2"/>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03E40031"/>
    <w:multiLevelType w:val="multilevel"/>
    <w:tmpl w:val="1604F6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AE6E78"/>
    <w:multiLevelType w:val="multilevel"/>
    <w:tmpl w:val="389C3160"/>
    <w:styleLink w:val="ABBBulletList"/>
    <w:lvl w:ilvl="0">
      <w:start w:val="1"/>
      <w:numFmt w:val="bullet"/>
      <w:lvlText w:val="–"/>
      <w:lvlJc w:val="left"/>
      <w:pPr>
        <w:tabs>
          <w:tab w:val="num" w:pos="284"/>
        </w:tabs>
        <w:ind w:left="284" w:hanging="284"/>
      </w:pPr>
      <w:rPr>
        <w:rFonts w:ascii="ABBvoice" w:hAnsi="ABBvoice" w:cs="Times New Roman" w:hint="default"/>
        <w:color w:val="auto"/>
        <w:u w:color="D90000" w:themeColor="text2"/>
      </w:rPr>
    </w:lvl>
    <w:lvl w:ilvl="1">
      <w:start w:val="1"/>
      <w:numFmt w:val="bullet"/>
      <w:lvlText w:val="•"/>
      <w:lvlJc w:val="left"/>
      <w:pPr>
        <w:tabs>
          <w:tab w:val="num" w:pos="568"/>
        </w:tabs>
        <w:ind w:left="568" w:hanging="284"/>
      </w:pPr>
      <w:rPr>
        <w:rFonts w:ascii="ABBvoice" w:hAnsi="ABBvoice" w:cs="Times New Roman" w:hint="default"/>
        <w:color w:val="auto"/>
        <w:u w:color="D90000" w:themeColor="text2"/>
      </w:rPr>
    </w:lvl>
    <w:lvl w:ilvl="2">
      <w:start w:val="1"/>
      <w:numFmt w:val="bullet"/>
      <w:lvlText w:val="–"/>
      <w:lvlJc w:val="left"/>
      <w:pPr>
        <w:tabs>
          <w:tab w:val="num" w:pos="852"/>
        </w:tabs>
        <w:ind w:left="852" w:hanging="284"/>
      </w:pPr>
      <w:rPr>
        <w:rFonts w:ascii="ABBvoice" w:hAnsi="ABBvoice" w:hint="default"/>
        <w:color w:val="auto"/>
        <w:u w:color="D90000" w:themeColor="text2"/>
      </w:rPr>
    </w:lvl>
    <w:lvl w:ilvl="3">
      <w:start w:val="1"/>
      <w:numFmt w:val="bullet"/>
      <w:lvlText w:val=""/>
      <w:lvlJc w:val="left"/>
      <w:pPr>
        <w:tabs>
          <w:tab w:val="num" w:pos="1136"/>
        </w:tabs>
        <w:ind w:left="1136" w:hanging="284"/>
      </w:pPr>
      <w:rPr>
        <w:rFonts w:ascii="Symbol" w:hAnsi="Symbol" w:hint="default"/>
      </w:rPr>
    </w:lvl>
    <w:lvl w:ilvl="4">
      <w:start w:val="1"/>
      <w:numFmt w:val="bullet"/>
      <w:lvlText w:val="o"/>
      <w:lvlJc w:val="left"/>
      <w:pPr>
        <w:tabs>
          <w:tab w:val="num" w:pos="1420"/>
        </w:tabs>
        <w:ind w:left="1420" w:hanging="284"/>
      </w:pPr>
      <w:rPr>
        <w:rFonts w:ascii="Courier New" w:hAnsi="Courier New" w:cs="Courier New" w:hint="default"/>
      </w:rPr>
    </w:lvl>
    <w:lvl w:ilvl="5">
      <w:start w:val="1"/>
      <w:numFmt w:val="bullet"/>
      <w:lvlText w:val=""/>
      <w:lvlJc w:val="left"/>
      <w:pPr>
        <w:tabs>
          <w:tab w:val="num" w:pos="1704"/>
        </w:tabs>
        <w:ind w:left="1704" w:hanging="284"/>
      </w:pPr>
      <w:rPr>
        <w:rFonts w:ascii="Wingdings" w:hAnsi="Wingdings" w:hint="default"/>
      </w:rPr>
    </w:lvl>
    <w:lvl w:ilvl="6">
      <w:start w:val="1"/>
      <w:numFmt w:val="bullet"/>
      <w:lvlText w:val=""/>
      <w:lvlJc w:val="left"/>
      <w:pPr>
        <w:tabs>
          <w:tab w:val="num" w:pos="1988"/>
        </w:tabs>
        <w:ind w:left="1988" w:hanging="284"/>
      </w:pPr>
      <w:rPr>
        <w:rFonts w:ascii="Symbol" w:hAnsi="Symbol" w:hint="default"/>
      </w:rPr>
    </w:lvl>
    <w:lvl w:ilvl="7">
      <w:start w:val="1"/>
      <w:numFmt w:val="bullet"/>
      <w:lvlText w:val="o"/>
      <w:lvlJc w:val="left"/>
      <w:pPr>
        <w:tabs>
          <w:tab w:val="num" w:pos="2272"/>
        </w:tabs>
        <w:ind w:left="2272" w:hanging="284"/>
      </w:pPr>
      <w:rPr>
        <w:rFonts w:ascii="Courier New" w:hAnsi="Courier New" w:cs="Courier New" w:hint="default"/>
      </w:rPr>
    </w:lvl>
    <w:lvl w:ilvl="8">
      <w:start w:val="1"/>
      <w:numFmt w:val="bullet"/>
      <w:lvlText w:val=""/>
      <w:lvlJc w:val="left"/>
      <w:pPr>
        <w:tabs>
          <w:tab w:val="num" w:pos="2556"/>
        </w:tabs>
        <w:ind w:left="2556" w:hanging="284"/>
      </w:pPr>
      <w:rPr>
        <w:rFonts w:ascii="Wingdings" w:hAnsi="Wingdings" w:hint="default"/>
      </w:rPr>
    </w:lvl>
  </w:abstractNum>
  <w:abstractNum w:abstractNumId="10" w15:restartNumberingAfterBreak="0">
    <w:nsid w:val="07A5645E"/>
    <w:multiLevelType w:val="multilevel"/>
    <w:tmpl w:val="4F58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0F0BB5"/>
    <w:multiLevelType w:val="multilevel"/>
    <w:tmpl w:val="0436ECFA"/>
    <w:styleLink w:val="ABBHeadings"/>
    <w:lvl w:ilvl="0">
      <w:start w:val="1"/>
      <w:numFmt w:val="decimal"/>
      <w:pStyle w:val="Heading1"/>
      <w:lvlText w:val="%1."/>
      <w:lvlJc w:val="left"/>
      <w:pPr>
        <w:ind w:left="0" w:hanging="992"/>
      </w:pPr>
      <w:rPr>
        <w:rFonts w:hint="default"/>
      </w:rPr>
    </w:lvl>
    <w:lvl w:ilvl="1">
      <w:start w:val="1"/>
      <w:numFmt w:val="decimal"/>
      <w:pStyle w:val="Heading2"/>
      <w:lvlText w:val="%1.%2."/>
      <w:lvlJc w:val="left"/>
      <w:pPr>
        <w:ind w:left="0" w:hanging="992"/>
      </w:pPr>
      <w:rPr>
        <w:rFonts w:hint="default"/>
      </w:rPr>
    </w:lvl>
    <w:lvl w:ilvl="2">
      <w:start w:val="1"/>
      <w:numFmt w:val="decimal"/>
      <w:pStyle w:val="Heading3"/>
      <w:lvlText w:val="%1.%2.%3."/>
      <w:lvlJc w:val="left"/>
      <w:pPr>
        <w:ind w:left="0" w:hanging="992"/>
      </w:pPr>
      <w:rPr>
        <w:rFonts w:hint="default"/>
      </w:rPr>
    </w:lvl>
    <w:lvl w:ilvl="3">
      <w:start w:val="1"/>
      <w:numFmt w:val="decimal"/>
      <w:pStyle w:val="Heading4"/>
      <w:lvlText w:val="%1.%2.%3.%4."/>
      <w:lvlJc w:val="left"/>
      <w:pPr>
        <w:ind w:left="0" w:hanging="992"/>
      </w:pPr>
      <w:rPr>
        <w:rFonts w:hint="default"/>
      </w:rPr>
    </w:lvl>
    <w:lvl w:ilvl="4">
      <w:start w:val="1"/>
      <w:numFmt w:val="decimal"/>
      <w:pStyle w:val="Heading5"/>
      <w:lvlText w:val="%1.%2.%3.%4.%5."/>
      <w:lvlJc w:val="left"/>
      <w:pPr>
        <w:ind w:left="0" w:hanging="992"/>
      </w:pPr>
      <w:rPr>
        <w:rFonts w:hint="default"/>
      </w:rPr>
    </w:lvl>
    <w:lvl w:ilvl="5">
      <w:start w:val="1"/>
      <w:numFmt w:val="decimal"/>
      <w:lvlText w:val="%1.%2.%3.%4.%5.%6"/>
      <w:lvlJc w:val="left"/>
      <w:pPr>
        <w:ind w:left="0" w:hanging="992"/>
      </w:pPr>
      <w:rPr>
        <w:rFonts w:hint="default"/>
      </w:rPr>
    </w:lvl>
    <w:lvl w:ilvl="6">
      <w:start w:val="1"/>
      <w:numFmt w:val="decimal"/>
      <w:lvlText w:val="%7."/>
      <w:lvlJc w:val="left"/>
      <w:pPr>
        <w:ind w:left="0" w:hanging="992"/>
      </w:pPr>
      <w:rPr>
        <w:rFonts w:hint="default"/>
      </w:rPr>
    </w:lvl>
    <w:lvl w:ilvl="7">
      <w:start w:val="1"/>
      <w:numFmt w:val="lowerLetter"/>
      <w:lvlText w:val="%8."/>
      <w:lvlJc w:val="left"/>
      <w:pPr>
        <w:ind w:left="0" w:hanging="992"/>
      </w:pPr>
      <w:rPr>
        <w:rFonts w:hint="default"/>
      </w:rPr>
    </w:lvl>
    <w:lvl w:ilvl="8">
      <w:start w:val="1"/>
      <w:numFmt w:val="lowerRoman"/>
      <w:lvlText w:val="%9."/>
      <w:lvlJc w:val="left"/>
      <w:pPr>
        <w:ind w:left="0" w:hanging="992"/>
      </w:pPr>
      <w:rPr>
        <w:rFonts w:hint="default"/>
      </w:rPr>
    </w:lvl>
  </w:abstractNum>
  <w:abstractNum w:abstractNumId="12" w15:restartNumberingAfterBreak="0">
    <w:nsid w:val="0B091AB1"/>
    <w:multiLevelType w:val="hybridMultilevel"/>
    <w:tmpl w:val="1B5E34CE"/>
    <w:lvl w:ilvl="0" w:tplc="054EBC16">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C9D130F"/>
    <w:multiLevelType w:val="multilevel"/>
    <w:tmpl w:val="F29ABFCE"/>
    <w:styleLink w:val="ABBNumberedList"/>
    <w:lvl w:ilvl="0">
      <w:start w:val="1"/>
      <w:numFmt w:val="decimal"/>
      <w:pStyle w:val="Num1"/>
      <w:lvlText w:val="%1."/>
      <w:lvlJc w:val="left"/>
      <w:pPr>
        <w:tabs>
          <w:tab w:val="num" w:pos="284"/>
        </w:tabs>
        <w:ind w:left="284" w:hanging="284"/>
      </w:pPr>
      <w:rPr>
        <w:rFonts w:hint="default"/>
      </w:rPr>
    </w:lvl>
    <w:lvl w:ilvl="1">
      <w:start w:val="1"/>
      <w:numFmt w:val="lowerLetter"/>
      <w:lvlText w:val="%2)"/>
      <w:lvlJc w:val="left"/>
      <w:pPr>
        <w:tabs>
          <w:tab w:val="num" w:pos="568"/>
        </w:tabs>
        <w:ind w:left="568" w:hanging="284"/>
      </w:pPr>
      <w:rPr>
        <w:rFonts w:hint="default"/>
      </w:rPr>
    </w:lvl>
    <w:lvl w:ilvl="2">
      <w:start w:val="1"/>
      <w:numFmt w:val="decimal"/>
      <w:lvlText w:val="%3."/>
      <w:lvlJc w:val="left"/>
      <w:pPr>
        <w:tabs>
          <w:tab w:val="num" w:pos="992"/>
        </w:tabs>
        <w:ind w:left="851" w:hanging="283"/>
      </w:pPr>
      <w:rPr>
        <w:rFonts w:hint="default"/>
      </w:rPr>
    </w:lvl>
    <w:lvl w:ilvl="3">
      <w:start w:val="1"/>
      <w:numFmt w:val="lowerRoman"/>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14" w15:restartNumberingAfterBreak="0">
    <w:nsid w:val="14372699"/>
    <w:multiLevelType w:val="multilevel"/>
    <w:tmpl w:val="B5087C42"/>
    <w:lvl w:ilvl="0">
      <w:start w:val="1"/>
      <w:numFmt w:val="decimal"/>
      <w:suff w:val="space"/>
      <w:lvlText w:val="%1."/>
      <w:lvlJc w:val="left"/>
      <w:pPr>
        <w:ind w:left="709" w:hanging="709"/>
      </w:pPr>
      <w:rPr>
        <w:rFonts w:hint="default"/>
      </w:rPr>
    </w:lvl>
    <w:lvl w:ilvl="1">
      <w:start w:val="1"/>
      <w:numFmt w:val="decimal"/>
      <w:suff w:val="space"/>
      <w:lvlText w:val="%1.%2."/>
      <w:lvlJc w:val="left"/>
      <w:pPr>
        <w:ind w:left="992" w:hanging="992"/>
      </w:pPr>
      <w:rPr>
        <w:rFonts w:hint="default"/>
      </w:rPr>
    </w:lvl>
    <w:lvl w:ilvl="2">
      <w:start w:val="1"/>
      <w:numFmt w:val="decimal"/>
      <w:suff w:val="space"/>
      <w:lvlText w:val="%1.%2.%3."/>
      <w:lvlJc w:val="left"/>
      <w:pPr>
        <w:ind w:left="1276" w:hanging="1276"/>
      </w:pPr>
      <w:rPr>
        <w:rFonts w:hint="default"/>
      </w:rPr>
    </w:lvl>
    <w:lvl w:ilvl="3">
      <w:start w:val="1"/>
      <w:numFmt w:val="decimal"/>
      <w:suff w:val="space"/>
      <w:lvlText w:val="%1.%2.%3.%4."/>
      <w:lvlJc w:val="left"/>
      <w:pPr>
        <w:ind w:left="1276" w:hanging="1276"/>
      </w:pPr>
      <w:rPr>
        <w:rFonts w:hint="default"/>
      </w:rPr>
    </w:lvl>
    <w:lvl w:ilvl="4">
      <w:start w:val="1"/>
      <w:numFmt w:val="decimal"/>
      <w:suff w:val="space"/>
      <w:lvlText w:val="%1.%2.%3.%4.%5."/>
      <w:lvlJc w:val="left"/>
      <w:pPr>
        <w:ind w:left="1276" w:hanging="1276"/>
      </w:pPr>
      <w:rPr>
        <w:rFonts w:hint="default"/>
      </w:rPr>
    </w:lvl>
    <w:lvl w:ilvl="5">
      <w:start w:val="1"/>
      <w:numFmt w:val="decimal"/>
      <w:suff w:val="space"/>
      <w:lvlText w:val="%1.%2.%3.%4.%5.%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83C63F5"/>
    <w:multiLevelType w:val="hybridMultilevel"/>
    <w:tmpl w:val="F7A29D66"/>
    <w:lvl w:ilvl="0" w:tplc="03263928">
      <w:start w:val="1"/>
      <w:numFmt w:val="bullet"/>
      <w:lvlText w:val=""/>
      <w:lvlJc w:val="left"/>
      <w:pPr>
        <w:ind w:left="720" w:hanging="360"/>
      </w:pPr>
      <w:rPr>
        <w:rFonts w:ascii="Symbol" w:hAnsi="Symbol" w:hint="default"/>
        <w:b/>
        <w:i w:val="0"/>
        <w:color w:val="FF0000"/>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2112AA"/>
    <w:multiLevelType w:val="hybridMultilevel"/>
    <w:tmpl w:val="49EE9A24"/>
    <w:lvl w:ilvl="0" w:tplc="53B22E30">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24DC4781"/>
    <w:multiLevelType w:val="multilevel"/>
    <w:tmpl w:val="EC08841E"/>
    <w:lvl w:ilvl="0">
      <w:start w:val="7"/>
      <w:numFmt w:val="decimal"/>
      <w:lvlText w:val="%1"/>
      <w:lvlJc w:val="left"/>
      <w:pPr>
        <w:ind w:left="520" w:hanging="520"/>
      </w:pPr>
      <w:rPr>
        <w:rFonts w:hint="default"/>
      </w:rPr>
    </w:lvl>
    <w:lvl w:ilvl="1">
      <w:start w:val="2"/>
      <w:numFmt w:val="decimal"/>
      <w:lvlText w:val="%1.%2"/>
      <w:lvlJc w:val="left"/>
      <w:pPr>
        <w:ind w:left="-272" w:hanging="720"/>
      </w:pPr>
      <w:rPr>
        <w:rFonts w:hint="default"/>
      </w:rPr>
    </w:lvl>
    <w:lvl w:ilvl="2">
      <w:start w:val="1"/>
      <w:numFmt w:val="decimal"/>
      <w:lvlText w:val="%1.%2.%3"/>
      <w:lvlJc w:val="left"/>
      <w:pPr>
        <w:ind w:left="-904" w:hanging="1080"/>
      </w:pPr>
      <w:rPr>
        <w:rFonts w:hint="default"/>
      </w:rPr>
    </w:lvl>
    <w:lvl w:ilvl="3">
      <w:start w:val="1"/>
      <w:numFmt w:val="decimal"/>
      <w:lvlText w:val="%1.%2.%3.%4"/>
      <w:lvlJc w:val="left"/>
      <w:pPr>
        <w:ind w:left="-1536" w:hanging="1440"/>
      </w:pPr>
      <w:rPr>
        <w:rFonts w:hint="default"/>
      </w:rPr>
    </w:lvl>
    <w:lvl w:ilvl="4">
      <w:start w:val="1"/>
      <w:numFmt w:val="decimal"/>
      <w:lvlText w:val="%1.%2.%3.%4.%5"/>
      <w:lvlJc w:val="left"/>
      <w:pPr>
        <w:ind w:left="-2168" w:hanging="1800"/>
      </w:pPr>
      <w:rPr>
        <w:rFonts w:hint="default"/>
      </w:rPr>
    </w:lvl>
    <w:lvl w:ilvl="5">
      <w:start w:val="1"/>
      <w:numFmt w:val="decimal"/>
      <w:lvlText w:val="%1.%2.%3.%4.%5.%6"/>
      <w:lvlJc w:val="left"/>
      <w:pPr>
        <w:ind w:left="-2800" w:hanging="2160"/>
      </w:pPr>
      <w:rPr>
        <w:rFonts w:hint="default"/>
      </w:rPr>
    </w:lvl>
    <w:lvl w:ilvl="6">
      <w:start w:val="1"/>
      <w:numFmt w:val="decimal"/>
      <w:lvlText w:val="%1.%2.%3.%4.%5.%6.%7"/>
      <w:lvlJc w:val="left"/>
      <w:pPr>
        <w:ind w:left="-3432" w:hanging="2520"/>
      </w:pPr>
      <w:rPr>
        <w:rFonts w:hint="default"/>
      </w:rPr>
    </w:lvl>
    <w:lvl w:ilvl="7">
      <w:start w:val="1"/>
      <w:numFmt w:val="decimal"/>
      <w:lvlText w:val="%1.%2.%3.%4.%5.%6.%7.%8"/>
      <w:lvlJc w:val="left"/>
      <w:pPr>
        <w:ind w:left="-4064" w:hanging="2880"/>
      </w:pPr>
      <w:rPr>
        <w:rFonts w:hint="default"/>
      </w:rPr>
    </w:lvl>
    <w:lvl w:ilvl="8">
      <w:start w:val="1"/>
      <w:numFmt w:val="decimal"/>
      <w:lvlText w:val="%1.%2.%3.%4.%5.%6.%7.%8.%9"/>
      <w:lvlJc w:val="left"/>
      <w:pPr>
        <w:ind w:left="-4696" w:hanging="3240"/>
      </w:pPr>
      <w:rPr>
        <w:rFonts w:hint="default"/>
      </w:rPr>
    </w:lvl>
  </w:abstractNum>
  <w:abstractNum w:abstractNumId="18" w15:restartNumberingAfterBreak="0">
    <w:nsid w:val="27D608F1"/>
    <w:multiLevelType w:val="multilevel"/>
    <w:tmpl w:val="7A2C6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B00BE9"/>
    <w:multiLevelType w:val="multilevel"/>
    <w:tmpl w:val="F29ABFCE"/>
    <w:numStyleLink w:val="ABBNumberedList"/>
  </w:abstractNum>
  <w:abstractNum w:abstractNumId="20" w15:restartNumberingAfterBreak="0">
    <w:nsid w:val="38A014FD"/>
    <w:multiLevelType w:val="hybridMultilevel"/>
    <w:tmpl w:val="C9E01D62"/>
    <w:lvl w:ilvl="0" w:tplc="39528CC6">
      <w:start w:val="1"/>
      <w:numFmt w:val="lowerLetter"/>
      <w:lvlText w:val="%1."/>
      <w:lvlJc w:val="left"/>
      <w:pPr>
        <w:ind w:left="1004" w:hanging="360"/>
      </w:pPr>
    </w:lvl>
    <w:lvl w:ilvl="1" w:tplc="04090013">
      <w:start w:val="1"/>
      <w:numFmt w:val="upperRoman"/>
      <w:lvlText w:val="%2."/>
      <w:lvlJc w:val="righ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38E67FB9"/>
    <w:multiLevelType w:val="multilevel"/>
    <w:tmpl w:val="81CE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9F10779"/>
    <w:multiLevelType w:val="multilevel"/>
    <w:tmpl w:val="AA46B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337EBE"/>
    <w:multiLevelType w:val="multilevel"/>
    <w:tmpl w:val="0436ECFA"/>
    <w:numStyleLink w:val="ABBHeadings"/>
  </w:abstractNum>
  <w:abstractNum w:abstractNumId="24" w15:restartNumberingAfterBreak="0">
    <w:nsid w:val="428410B8"/>
    <w:multiLevelType w:val="multilevel"/>
    <w:tmpl w:val="20CE07A6"/>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8"/>
        </w:tabs>
        <w:ind w:left="568" w:hanging="284"/>
      </w:pPr>
      <w:rPr>
        <w:rFonts w:hint="default"/>
      </w:rPr>
    </w:lvl>
    <w:lvl w:ilvl="2">
      <w:start w:val="1"/>
      <w:numFmt w:val="decimal"/>
      <w:lvlText w:val="%3."/>
      <w:lvlJc w:val="left"/>
      <w:pPr>
        <w:tabs>
          <w:tab w:val="num" w:pos="992"/>
        </w:tabs>
        <w:ind w:left="851" w:hanging="283"/>
      </w:pPr>
      <w:rPr>
        <w:rFonts w:hint="default"/>
      </w:rPr>
    </w:lvl>
    <w:lvl w:ilvl="3">
      <w:start w:val="1"/>
      <w:numFmt w:val="lowerRoman"/>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25" w15:restartNumberingAfterBreak="0">
    <w:nsid w:val="457971DE"/>
    <w:multiLevelType w:val="hybridMultilevel"/>
    <w:tmpl w:val="D584D6AC"/>
    <w:lvl w:ilvl="0" w:tplc="33D84570">
      <w:start w:val="1"/>
      <w:numFmt w:val="bullet"/>
      <w:pStyle w:val="T0Cursor"/>
      <w:lvlText w:val="—"/>
      <w:lvlJc w:val="left"/>
      <w:pPr>
        <w:ind w:left="720" w:hanging="360"/>
      </w:pPr>
      <w:rPr>
        <w:rFonts w:ascii="ABBvoice" w:hAnsi="ABBvoice" w:hint="default"/>
        <w:b/>
        <w:i w:val="0"/>
      </w:rPr>
    </w:lvl>
    <w:lvl w:ilvl="1" w:tplc="1720964C" w:tentative="1">
      <w:start w:val="1"/>
      <w:numFmt w:val="bullet"/>
      <w:lvlText w:val="o"/>
      <w:lvlJc w:val="left"/>
      <w:pPr>
        <w:ind w:left="1440" w:hanging="360"/>
      </w:pPr>
      <w:rPr>
        <w:rFonts w:ascii="Courier New" w:hAnsi="Courier New" w:cs="Courier New" w:hint="default"/>
      </w:rPr>
    </w:lvl>
    <w:lvl w:ilvl="2" w:tplc="573AD498" w:tentative="1">
      <w:start w:val="1"/>
      <w:numFmt w:val="bullet"/>
      <w:lvlText w:val=""/>
      <w:lvlJc w:val="left"/>
      <w:pPr>
        <w:ind w:left="2160" w:hanging="360"/>
      </w:pPr>
      <w:rPr>
        <w:rFonts w:ascii="Wingdings" w:hAnsi="Wingdings" w:hint="default"/>
      </w:rPr>
    </w:lvl>
    <w:lvl w:ilvl="3" w:tplc="8AC63F1E" w:tentative="1">
      <w:start w:val="1"/>
      <w:numFmt w:val="bullet"/>
      <w:lvlText w:val=""/>
      <w:lvlJc w:val="left"/>
      <w:pPr>
        <w:ind w:left="2880" w:hanging="360"/>
      </w:pPr>
      <w:rPr>
        <w:rFonts w:ascii="Symbol" w:hAnsi="Symbol" w:hint="default"/>
      </w:rPr>
    </w:lvl>
    <w:lvl w:ilvl="4" w:tplc="AAF4C10A" w:tentative="1">
      <w:start w:val="1"/>
      <w:numFmt w:val="bullet"/>
      <w:lvlText w:val="o"/>
      <w:lvlJc w:val="left"/>
      <w:pPr>
        <w:ind w:left="3600" w:hanging="360"/>
      </w:pPr>
      <w:rPr>
        <w:rFonts w:ascii="Courier New" w:hAnsi="Courier New" w:cs="Courier New" w:hint="default"/>
      </w:rPr>
    </w:lvl>
    <w:lvl w:ilvl="5" w:tplc="1C229C2A" w:tentative="1">
      <w:start w:val="1"/>
      <w:numFmt w:val="bullet"/>
      <w:lvlText w:val=""/>
      <w:lvlJc w:val="left"/>
      <w:pPr>
        <w:ind w:left="4320" w:hanging="360"/>
      </w:pPr>
      <w:rPr>
        <w:rFonts w:ascii="Wingdings" w:hAnsi="Wingdings" w:hint="default"/>
      </w:rPr>
    </w:lvl>
    <w:lvl w:ilvl="6" w:tplc="67280A7C" w:tentative="1">
      <w:start w:val="1"/>
      <w:numFmt w:val="bullet"/>
      <w:lvlText w:val=""/>
      <w:lvlJc w:val="left"/>
      <w:pPr>
        <w:ind w:left="5040" w:hanging="360"/>
      </w:pPr>
      <w:rPr>
        <w:rFonts w:ascii="Symbol" w:hAnsi="Symbol" w:hint="default"/>
      </w:rPr>
    </w:lvl>
    <w:lvl w:ilvl="7" w:tplc="A09ADE72" w:tentative="1">
      <w:start w:val="1"/>
      <w:numFmt w:val="bullet"/>
      <w:lvlText w:val="o"/>
      <w:lvlJc w:val="left"/>
      <w:pPr>
        <w:ind w:left="5760" w:hanging="360"/>
      </w:pPr>
      <w:rPr>
        <w:rFonts w:ascii="Courier New" w:hAnsi="Courier New" w:cs="Courier New" w:hint="default"/>
      </w:rPr>
    </w:lvl>
    <w:lvl w:ilvl="8" w:tplc="7504B450" w:tentative="1">
      <w:start w:val="1"/>
      <w:numFmt w:val="bullet"/>
      <w:lvlText w:val=""/>
      <w:lvlJc w:val="left"/>
      <w:pPr>
        <w:ind w:left="6480" w:hanging="360"/>
      </w:pPr>
      <w:rPr>
        <w:rFonts w:ascii="Wingdings" w:hAnsi="Wingdings" w:hint="default"/>
      </w:rPr>
    </w:lvl>
  </w:abstractNum>
  <w:abstractNum w:abstractNumId="26" w15:restartNumberingAfterBreak="0">
    <w:nsid w:val="4AC650AB"/>
    <w:multiLevelType w:val="multilevel"/>
    <w:tmpl w:val="CA98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0B3A21"/>
    <w:multiLevelType w:val="singleLevel"/>
    <w:tmpl w:val="9752BE54"/>
    <w:lvl w:ilvl="0">
      <w:start w:val="1"/>
      <w:numFmt w:val="bullet"/>
      <w:lvlText w:val=""/>
      <w:lvlJc w:val="left"/>
      <w:pPr>
        <w:ind w:left="360" w:hanging="360"/>
      </w:pPr>
      <w:rPr>
        <w:rFonts w:ascii="Symbol" w:hAnsi="Symbol" w:hint="default"/>
        <w:color w:val="auto"/>
        <w:u w:color="D90000" w:themeColor="text2"/>
      </w:rPr>
    </w:lvl>
  </w:abstractNum>
  <w:abstractNum w:abstractNumId="28" w15:restartNumberingAfterBreak="0">
    <w:nsid w:val="4F8430FE"/>
    <w:multiLevelType w:val="hybridMultilevel"/>
    <w:tmpl w:val="61C65D96"/>
    <w:lvl w:ilvl="0" w:tplc="C9405AA0">
      <w:start w:val="1"/>
      <w:numFmt w:val="bullet"/>
      <w:lvlText w:val="—"/>
      <w:lvlJc w:val="left"/>
      <w:pPr>
        <w:ind w:left="720" w:hanging="360"/>
      </w:pPr>
      <w:rPr>
        <w:b w:val="0"/>
        <w:bCs w:val="0"/>
        <w:i w:val="0"/>
        <w:iCs w:val="0"/>
        <w:caps w:val="0"/>
        <w:smallCaps w:val="0"/>
        <w:strike w:val="0"/>
        <w:dstrike w:val="0"/>
        <w:outline w:val="0"/>
        <w:shadow w:val="0"/>
        <w:emboss w:val="0"/>
        <w:imprint w:val="0"/>
        <w:noProof w:val="0"/>
        <w:vanish w:val="0"/>
        <w:color w:val="FF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10AF12E" w:tentative="1">
      <w:start w:val="1"/>
      <w:numFmt w:val="bullet"/>
      <w:lvlText w:val="o"/>
      <w:lvlJc w:val="left"/>
      <w:pPr>
        <w:ind w:left="1440" w:hanging="360"/>
      </w:pPr>
      <w:rPr>
        <w:rFonts w:ascii="Courier New" w:hAnsi="Courier New" w:cs="Courier New" w:hint="default"/>
      </w:rPr>
    </w:lvl>
    <w:lvl w:ilvl="2" w:tplc="08D8C37C" w:tentative="1">
      <w:start w:val="1"/>
      <w:numFmt w:val="bullet"/>
      <w:lvlText w:val=""/>
      <w:lvlJc w:val="left"/>
      <w:pPr>
        <w:ind w:left="2160" w:hanging="360"/>
      </w:pPr>
      <w:rPr>
        <w:rFonts w:ascii="Wingdings" w:hAnsi="Wingdings" w:hint="default"/>
      </w:rPr>
    </w:lvl>
    <w:lvl w:ilvl="3" w:tplc="2130A93C" w:tentative="1">
      <w:start w:val="1"/>
      <w:numFmt w:val="bullet"/>
      <w:lvlText w:val=""/>
      <w:lvlJc w:val="left"/>
      <w:pPr>
        <w:ind w:left="2880" w:hanging="360"/>
      </w:pPr>
      <w:rPr>
        <w:rFonts w:ascii="Symbol" w:hAnsi="Symbol" w:hint="default"/>
      </w:rPr>
    </w:lvl>
    <w:lvl w:ilvl="4" w:tplc="FB4AECF4" w:tentative="1">
      <w:start w:val="1"/>
      <w:numFmt w:val="bullet"/>
      <w:lvlText w:val="o"/>
      <w:lvlJc w:val="left"/>
      <w:pPr>
        <w:ind w:left="3600" w:hanging="360"/>
      </w:pPr>
      <w:rPr>
        <w:rFonts w:ascii="Courier New" w:hAnsi="Courier New" w:cs="Courier New" w:hint="default"/>
      </w:rPr>
    </w:lvl>
    <w:lvl w:ilvl="5" w:tplc="E384C522" w:tentative="1">
      <w:start w:val="1"/>
      <w:numFmt w:val="bullet"/>
      <w:lvlText w:val=""/>
      <w:lvlJc w:val="left"/>
      <w:pPr>
        <w:ind w:left="4320" w:hanging="360"/>
      </w:pPr>
      <w:rPr>
        <w:rFonts w:ascii="Wingdings" w:hAnsi="Wingdings" w:hint="default"/>
      </w:rPr>
    </w:lvl>
    <w:lvl w:ilvl="6" w:tplc="25164712" w:tentative="1">
      <w:start w:val="1"/>
      <w:numFmt w:val="bullet"/>
      <w:lvlText w:val=""/>
      <w:lvlJc w:val="left"/>
      <w:pPr>
        <w:ind w:left="5040" w:hanging="360"/>
      </w:pPr>
      <w:rPr>
        <w:rFonts w:ascii="Symbol" w:hAnsi="Symbol" w:hint="default"/>
      </w:rPr>
    </w:lvl>
    <w:lvl w:ilvl="7" w:tplc="FAC89392" w:tentative="1">
      <w:start w:val="1"/>
      <w:numFmt w:val="bullet"/>
      <w:lvlText w:val="o"/>
      <w:lvlJc w:val="left"/>
      <w:pPr>
        <w:ind w:left="5760" w:hanging="360"/>
      </w:pPr>
      <w:rPr>
        <w:rFonts w:ascii="Courier New" w:hAnsi="Courier New" w:cs="Courier New" w:hint="default"/>
      </w:rPr>
    </w:lvl>
    <w:lvl w:ilvl="8" w:tplc="D61EC7BE" w:tentative="1">
      <w:start w:val="1"/>
      <w:numFmt w:val="bullet"/>
      <w:lvlText w:val=""/>
      <w:lvlJc w:val="left"/>
      <w:pPr>
        <w:ind w:left="6480" w:hanging="360"/>
      </w:pPr>
      <w:rPr>
        <w:rFonts w:ascii="Wingdings" w:hAnsi="Wingdings" w:hint="default"/>
      </w:rPr>
    </w:lvl>
  </w:abstractNum>
  <w:abstractNum w:abstractNumId="29" w15:restartNumberingAfterBreak="0">
    <w:nsid w:val="51A26D6A"/>
    <w:multiLevelType w:val="multilevel"/>
    <w:tmpl w:val="77B278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C14663"/>
    <w:multiLevelType w:val="hybridMultilevel"/>
    <w:tmpl w:val="6C2419AC"/>
    <w:lvl w:ilvl="0" w:tplc="2BBAC44A">
      <w:start w:val="1"/>
      <w:numFmt w:val="bullet"/>
      <w:pStyle w:val="Bullet2"/>
      <w:lvlText w:val=""/>
      <w:lvlJc w:val="left"/>
      <w:pPr>
        <w:ind w:left="720" w:hanging="360"/>
      </w:pPr>
      <w:rPr>
        <w:rFonts w:ascii="Symbol" w:hAnsi="Symbol" w:hint="default"/>
        <w:color w:val="auto"/>
        <w:u w:color="D90000"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A4203E"/>
    <w:multiLevelType w:val="hybridMultilevel"/>
    <w:tmpl w:val="9F784F5A"/>
    <w:lvl w:ilvl="0" w:tplc="7F488074">
      <w:start w:val="1"/>
      <w:numFmt w:val="bullet"/>
      <w:pStyle w:val="Bullet3"/>
      <w:lvlText w:val="o"/>
      <w:lvlJc w:val="left"/>
      <w:pPr>
        <w:ind w:left="1288" w:hanging="360"/>
      </w:pPr>
      <w:rPr>
        <w:rFonts w:ascii="Courier New" w:hAnsi="Courier New" w:cs="Courier New" w:hint="default"/>
      </w:rPr>
    </w:lvl>
    <w:lvl w:ilvl="1" w:tplc="04070003" w:tentative="1">
      <w:start w:val="1"/>
      <w:numFmt w:val="bullet"/>
      <w:lvlText w:val="o"/>
      <w:lvlJc w:val="left"/>
      <w:pPr>
        <w:ind w:left="2008" w:hanging="360"/>
      </w:pPr>
      <w:rPr>
        <w:rFonts w:ascii="Courier New" w:hAnsi="Courier New" w:cs="Courier New" w:hint="default"/>
      </w:rPr>
    </w:lvl>
    <w:lvl w:ilvl="2" w:tplc="04070005" w:tentative="1">
      <w:start w:val="1"/>
      <w:numFmt w:val="bullet"/>
      <w:lvlText w:val=""/>
      <w:lvlJc w:val="left"/>
      <w:pPr>
        <w:ind w:left="2728" w:hanging="360"/>
      </w:pPr>
      <w:rPr>
        <w:rFonts w:ascii="Wingdings" w:hAnsi="Wingdings" w:hint="default"/>
      </w:rPr>
    </w:lvl>
    <w:lvl w:ilvl="3" w:tplc="04070001" w:tentative="1">
      <w:start w:val="1"/>
      <w:numFmt w:val="bullet"/>
      <w:lvlText w:val=""/>
      <w:lvlJc w:val="left"/>
      <w:pPr>
        <w:ind w:left="3448" w:hanging="360"/>
      </w:pPr>
      <w:rPr>
        <w:rFonts w:ascii="Symbol" w:hAnsi="Symbol" w:hint="default"/>
      </w:rPr>
    </w:lvl>
    <w:lvl w:ilvl="4" w:tplc="04070003" w:tentative="1">
      <w:start w:val="1"/>
      <w:numFmt w:val="bullet"/>
      <w:lvlText w:val="o"/>
      <w:lvlJc w:val="left"/>
      <w:pPr>
        <w:ind w:left="4168" w:hanging="360"/>
      </w:pPr>
      <w:rPr>
        <w:rFonts w:ascii="Courier New" w:hAnsi="Courier New" w:cs="Courier New" w:hint="default"/>
      </w:rPr>
    </w:lvl>
    <w:lvl w:ilvl="5" w:tplc="04070005" w:tentative="1">
      <w:start w:val="1"/>
      <w:numFmt w:val="bullet"/>
      <w:lvlText w:val=""/>
      <w:lvlJc w:val="left"/>
      <w:pPr>
        <w:ind w:left="4888" w:hanging="360"/>
      </w:pPr>
      <w:rPr>
        <w:rFonts w:ascii="Wingdings" w:hAnsi="Wingdings" w:hint="default"/>
      </w:rPr>
    </w:lvl>
    <w:lvl w:ilvl="6" w:tplc="04070001" w:tentative="1">
      <w:start w:val="1"/>
      <w:numFmt w:val="bullet"/>
      <w:lvlText w:val=""/>
      <w:lvlJc w:val="left"/>
      <w:pPr>
        <w:ind w:left="5608" w:hanging="360"/>
      </w:pPr>
      <w:rPr>
        <w:rFonts w:ascii="Symbol" w:hAnsi="Symbol" w:hint="default"/>
      </w:rPr>
    </w:lvl>
    <w:lvl w:ilvl="7" w:tplc="04070003" w:tentative="1">
      <w:start w:val="1"/>
      <w:numFmt w:val="bullet"/>
      <w:lvlText w:val="o"/>
      <w:lvlJc w:val="left"/>
      <w:pPr>
        <w:ind w:left="6328" w:hanging="360"/>
      </w:pPr>
      <w:rPr>
        <w:rFonts w:ascii="Courier New" w:hAnsi="Courier New" w:cs="Courier New" w:hint="default"/>
      </w:rPr>
    </w:lvl>
    <w:lvl w:ilvl="8" w:tplc="04070005" w:tentative="1">
      <w:start w:val="1"/>
      <w:numFmt w:val="bullet"/>
      <w:lvlText w:val=""/>
      <w:lvlJc w:val="left"/>
      <w:pPr>
        <w:ind w:left="7048" w:hanging="360"/>
      </w:pPr>
      <w:rPr>
        <w:rFonts w:ascii="Wingdings" w:hAnsi="Wingdings" w:hint="default"/>
      </w:rPr>
    </w:lvl>
  </w:abstractNum>
  <w:abstractNum w:abstractNumId="32" w15:restartNumberingAfterBreak="0">
    <w:nsid w:val="65AF4326"/>
    <w:multiLevelType w:val="hybridMultilevel"/>
    <w:tmpl w:val="E1F2B094"/>
    <w:lvl w:ilvl="0" w:tplc="92A8AD7A">
      <w:start w:val="1"/>
      <w:numFmt w:val="upperRoman"/>
      <w:pStyle w:val="Num3"/>
      <w:lvlText w:val="%1."/>
      <w:lvlJc w:val="righ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33" w15:restartNumberingAfterBreak="0">
    <w:nsid w:val="66C860FC"/>
    <w:multiLevelType w:val="multilevel"/>
    <w:tmpl w:val="F8D8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90A691B"/>
    <w:multiLevelType w:val="multilevel"/>
    <w:tmpl w:val="DCEA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D301D0"/>
    <w:multiLevelType w:val="hybridMultilevel"/>
    <w:tmpl w:val="FC8412E0"/>
    <w:lvl w:ilvl="0" w:tplc="5032F23E">
      <w:start w:val="1"/>
      <w:numFmt w:val="bullet"/>
      <w:lvlText w:val="∘"/>
      <w:lvlJc w:val="left"/>
      <w:pPr>
        <w:ind w:left="644" w:hanging="360"/>
      </w:pPr>
      <w:rPr>
        <w:rFonts w:ascii="ABBvoice" w:hAnsi="ABBvoice"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AE5CC9"/>
    <w:multiLevelType w:val="multilevel"/>
    <w:tmpl w:val="C716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71F3708"/>
    <w:multiLevelType w:val="hybridMultilevel"/>
    <w:tmpl w:val="DA5A31DA"/>
    <w:lvl w:ilvl="0" w:tplc="D172783C">
      <w:start w:val="1"/>
      <w:numFmt w:val="lowerLetter"/>
      <w:pStyle w:val="Num2"/>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290210148">
    <w:abstractNumId w:val="9"/>
  </w:num>
  <w:num w:numId="2" w16cid:durableId="1591163681">
    <w:abstractNumId w:val="13"/>
  </w:num>
  <w:num w:numId="3" w16cid:durableId="663044282">
    <w:abstractNumId w:val="25"/>
  </w:num>
  <w:num w:numId="4" w16cid:durableId="1982729735">
    <w:abstractNumId w:val="28"/>
  </w:num>
  <w:num w:numId="5" w16cid:durableId="519709265">
    <w:abstractNumId w:val="27"/>
  </w:num>
  <w:num w:numId="6" w16cid:durableId="1419868820">
    <w:abstractNumId w:val="19"/>
  </w:num>
  <w:num w:numId="7" w16cid:durableId="537159085">
    <w:abstractNumId w:val="11"/>
  </w:num>
  <w:num w:numId="8" w16cid:durableId="301348599">
    <w:abstractNumId w:val="14"/>
  </w:num>
  <w:num w:numId="9" w16cid:durableId="1017198296">
    <w:abstractNumId w:val="27"/>
  </w:num>
  <w:num w:numId="10" w16cid:durableId="15132996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1384264">
    <w:abstractNumId w:val="5"/>
  </w:num>
  <w:num w:numId="12" w16cid:durableId="341473378">
    <w:abstractNumId w:val="4"/>
  </w:num>
  <w:num w:numId="13" w16cid:durableId="1636908823">
    <w:abstractNumId w:val="3"/>
  </w:num>
  <w:num w:numId="14" w16cid:durableId="712928187">
    <w:abstractNumId w:val="2"/>
  </w:num>
  <w:num w:numId="15" w16cid:durableId="1030228734">
    <w:abstractNumId w:val="1"/>
  </w:num>
  <w:num w:numId="16" w16cid:durableId="1045760174">
    <w:abstractNumId w:val="0"/>
  </w:num>
  <w:num w:numId="17" w16cid:durableId="171532729">
    <w:abstractNumId w:val="25"/>
  </w:num>
  <w:num w:numId="18" w16cid:durableId="1149906115">
    <w:abstractNumId w:val="11"/>
  </w:num>
  <w:num w:numId="19" w16cid:durableId="159467271">
    <w:abstractNumId w:val="23"/>
  </w:num>
  <w:num w:numId="20" w16cid:durableId="1559589492">
    <w:abstractNumId w:val="23"/>
  </w:num>
  <w:num w:numId="21" w16cid:durableId="1274438127">
    <w:abstractNumId w:val="23"/>
  </w:num>
  <w:num w:numId="22" w16cid:durableId="739644180">
    <w:abstractNumId w:val="23"/>
  </w:num>
  <w:num w:numId="23" w16cid:durableId="488789061">
    <w:abstractNumId w:val="23"/>
  </w:num>
  <w:num w:numId="24" w16cid:durableId="1337000173">
    <w:abstractNumId w:val="35"/>
  </w:num>
  <w:num w:numId="25" w16cid:durableId="1994677587">
    <w:abstractNumId w:val="12"/>
  </w:num>
  <w:num w:numId="26" w16cid:durableId="1451167956">
    <w:abstractNumId w:val="6"/>
  </w:num>
  <w:num w:numId="27" w16cid:durableId="1572078080">
    <w:abstractNumId w:val="31"/>
  </w:num>
  <w:num w:numId="28" w16cid:durableId="1440373452">
    <w:abstractNumId w:val="7"/>
  </w:num>
  <w:num w:numId="29" w16cid:durableId="1611815697">
    <w:abstractNumId w:val="30"/>
  </w:num>
  <w:num w:numId="30" w16cid:durableId="1648625052">
    <w:abstractNumId w:val="16"/>
  </w:num>
  <w:num w:numId="31" w16cid:durableId="1705014581">
    <w:abstractNumId w:val="24"/>
  </w:num>
  <w:num w:numId="32" w16cid:durableId="1495877583">
    <w:abstractNumId w:val="32"/>
  </w:num>
  <w:num w:numId="33" w16cid:durableId="843327746">
    <w:abstractNumId w:val="37"/>
  </w:num>
  <w:num w:numId="34" w16cid:durableId="172846944">
    <w:abstractNumId w:val="20"/>
  </w:num>
  <w:num w:numId="35" w16cid:durableId="451095565">
    <w:abstractNumId w:val="15"/>
  </w:num>
  <w:num w:numId="36" w16cid:durableId="1284923657">
    <w:abstractNumId w:val="22"/>
  </w:num>
  <w:num w:numId="37" w16cid:durableId="362022757">
    <w:abstractNumId w:val="34"/>
  </w:num>
  <w:num w:numId="38" w16cid:durableId="387919924">
    <w:abstractNumId w:val="33"/>
  </w:num>
  <w:num w:numId="39" w16cid:durableId="1303345236">
    <w:abstractNumId w:val="36"/>
  </w:num>
  <w:num w:numId="40" w16cid:durableId="103891986">
    <w:abstractNumId w:val="10"/>
  </w:num>
  <w:num w:numId="41" w16cid:durableId="363557406">
    <w:abstractNumId w:val="21"/>
  </w:num>
  <w:num w:numId="42" w16cid:durableId="1561331364">
    <w:abstractNumId w:val="26"/>
  </w:num>
  <w:num w:numId="43" w16cid:durableId="118502156">
    <w:abstractNumId w:val="18"/>
  </w:num>
  <w:num w:numId="44" w16cid:durableId="1997957851">
    <w:abstractNumId w:val="29"/>
  </w:num>
  <w:num w:numId="45" w16cid:durableId="228540358">
    <w:abstractNumId w:val="8"/>
  </w:num>
  <w:num w:numId="46" w16cid:durableId="1845049176">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hideSpellingErrors/>
  <w:hideGrammaticalErrors/>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08"/>
  <w:autoHyphenation/>
  <w:consecutiveHyphenLimit w:val="3"/>
  <w:hyphenationZone w:val="425"/>
  <w:doNotHyphenateCaps/>
  <w:drawingGridHorizontalSpacing w:val="181"/>
  <w:drawingGridVerticalSpacing w:val="181"/>
  <w:characterSpacingControl w:val="doNotCompress"/>
  <w:hdrShapeDefaults>
    <o:shapedefaults v:ext="edit" spidmax="2050">
      <o:colormru v:ext="edit" colors="silver"/>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61B"/>
    <w:rsid w:val="00001506"/>
    <w:rsid w:val="000024F0"/>
    <w:rsid w:val="00010B2C"/>
    <w:rsid w:val="0001134F"/>
    <w:rsid w:val="00011AB4"/>
    <w:rsid w:val="00012122"/>
    <w:rsid w:val="00013F49"/>
    <w:rsid w:val="00027D58"/>
    <w:rsid w:val="000316EC"/>
    <w:rsid w:val="00032B92"/>
    <w:rsid w:val="000349BC"/>
    <w:rsid w:val="00034C65"/>
    <w:rsid w:val="0003585F"/>
    <w:rsid w:val="000377AB"/>
    <w:rsid w:val="00041AAD"/>
    <w:rsid w:val="00046B0B"/>
    <w:rsid w:val="00047D44"/>
    <w:rsid w:val="00047F92"/>
    <w:rsid w:val="00052F24"/>
    <w:rsid w:val="00053E6C"/>
    <w:rsid w:val="0005548E"/>
    <w:rsid w:val="0005574C"/>
    <w:rsid w:val="000578DD"/>
    <w:rsid w:val="00057D3C"/>
    <w:rsid w:val="00061BF1"/>
    <w:rsid w:val="00063B0F"/>
    <w:rsid w:val="00066983"/>
    <w:rsid w:val="000718C1"/>
    <w:rsid w:val="00072E82"/>
    <w:rsid w:val="0008259C"/>
    <w:rsid w:val="00082633"/>
    <w:rsid w:val="00090078"/>
    <w:rsid w:val="00090D8F"/>
    <w:rsid w:val="000A01F6"/>
    <w:rsid w:val="000A1C88"/>
    <w:rsid w:val="000A2575"/>
    <w:rsid w:val="000A640E"/>
    <w:rsid w:val="000B5C90"/>
    <w:rsid w:val="000B5EBD"/>
    <w:rsid w:val="000B68B0"/>
    <w:rsid w:val="000C1D4B"/>
    <w:rsid w:val="000C31C4"/>
    <w:rsid w:val="000C48BA"/>
    <w:rsid w:val="000D36F0"/>
    <w:rsid w:val="000E0F7D"/>
    <w:rsid w:val="000E7830"/>
    <w:rsid w:val="000F0887"/>
    <w:rsid w:val="000F18AF"/>
    <w:rsid w:val="000F7C33"/>
    <w:rsid w:val="00103980"/>
    <w:rsid w:val="0010429F"/>
    <w:rsid w:val="00114AA0"/>
    <w:rsid w:val="00114D93"/>
    <w:rsid w:val="00115E9B"/>
    <w:rsid w:val="00116519"/>
    <w:rsid w:val="001166D7"/>
    <w:rsid w:val="001167A5"/>
    <w:rsid w:val="001205EA"/>
    <w:rsid w:val="00121069"/>
    <w:rsid w:val="00127F49"/>
    <w:rsid w:val="00132B5E"/>
    <w:rsid w:val="00134512"/>
    <w:rsid w:val="00134A93"/>
    <w:rsid w:val="00135E1B"/>
    <w:rsid w:val="00140AEA"/>
    <w:rsid w:val="00145579"/>
    <w:rsid w:val="0014712A"/>
    <w:rsid w:val="001474D7"/>
    <w:rsid w:val="001502A7"/>
    <w:rsid w:val="00150391"/>
    <w:rsid w:val="00150FB4"/>
    <w:rsid w:val="0015411E"/>
    <w:rsid w:val="00154ECF"/>
    <w:rsid w:val="001578C5"/>
    <w:rsid w:val="00161BA6"/>
    <w:rsid w:val="00165633"/>
    <w:rsid w:val="00166C34"/>
    <w:rsid w:val="00167B82"/>
    <w:rsid w:val="0017129C"/>
    <w:rsid w:val="001716A3"/>
    <w:rsid w:val="00173FD2"/>
    <w:rsid w:val="00180ABF"/>
    <w:rsid w:val="00186263"/>
    <w:rsid w:val="001875E3"/>
    <w:rsid w:val="001904D9"/>
    <w:rsid w:val="001907E2"/>
    <w:rsid w:val="00192AAD"/>
    <w:rsid w:val="00194B20"/>
    <w:rsid w:val="0019596E"/>
    <w:rsid w:val="001A13D1"/>
    <w:rsid w:val="001A4F7F"/>
    <w:rsid w:val="001A54AA"/>
    <w:rsid w:val="001A765C"/>
    <w:rsid w:val="001B05F1"/>
    <w:rsid w:val="001B7E72"/>
    <w:rsid w:val="001C2572"/>
    <w:rsid w:val="001C28B6"/>
    <w:rsid w:val="001C77EE"/>
    <w:rsid w:val="001D2217"/>
    <w:rsid w:val="001D2F32"/>
    <w:rsid w:val="001D30CF"/>
    <w:rsid w:val="001E0E38"/>
    <w:rsid w:val="001E1D0A"/>
    <w:rsid w:val="001E5AA1"/>
    <w:rsid w:val="001F10CC"/>
    <w:rsid w:val="001F4FAA"/>
    <w:rsid w:val="001F5417"/>
    <w:rsid w:val="0020190C"/>
    <w:rsid w:val="00204BB8"/>
    <w:rsid w:val="00205160"/>
    <w:rsid w:val="00215374"/>
    <w:rsid w:val="002159BC"/>
    <w:rsid w:val="00217A29"/>
    <w:rsid w:val="002209B2"/>
    <w:rsid w:val="00222B83"/>
    <w:rsid w:val="002237F9"/>
    <w:rsid w:val="00224E34"/>
    <w:rsid w:val="00232EDA"/>
    <w:rsid w:val="002367BA"/>
    <w:rsid w:val="00236C24"/>
    <w:rsid w:val="002409CA"/>
    <w:rsid w:val="002435C0"/>
    <w:rsid w:val="00243BFD"/>
    <w:rsid w:val="00245537"/>
    <w:rsid w:val="00247D5A"/>
    <w:rsid w:val="00251C98"/>
    <w:rsid w:val="0025525C"/>
    <w:rsid w:val="0026226A"/>
    <w:rsid w:val="0026612B"/>
    <w:rsid w:val="00266765"/>
    <w:rsid w:val="00271245"/>
    <w:rsid w:val="00271CBF"/>
    <w:rsid w:val="00272B18"/>
    <w:rsid w:val="002730A2"/>
    <w:rsid w:val="00273956"/>
    <w:rsid w:val="00273E84"/>
    <w:rsid w:val="00277ABD"/>
    <w:rsid w:val="002800DB"/>
    <w:rsid w:val="002810DD"/>
    <w:rsid w:val="00287BD6"/>
    <w:rsid w:val="002929F6"/>
    <w:rsid w:val="00292E2D"/>
    <w:rsid w:val="00295D89"/>
    <w:rsid w:val="002A033B"/>
    <w:rsid w:val="002A42DE"/>
    <w:rsid w:val="002A63F8"/>
    <w:rsid w:val="002B20C6"/>
    <w:rsid w:val="002B3F45"/>
    <w:rsid w:val="002C22C5"/>
    <w:rsid w:val="002C314B"/>
    <w:rsid w:val="002C45F5"/>
    <w:rsid w:val="002C564B"/>
    <w:rsid w:val="002D08EC"/>
    <w:rsid w:val="002D14C0"/>
    <w:rsid w:val="002D3DA9"/>
    <w:rsid w:val="002D41B0"/>
    <w:rsid w:val="002D5053"/>
    <w:rsid w:val="002D6839"/>
    <w:rsid w:val="002E76D1"/>
    <w:rsid w:val="002E7A2F"/>
    <w:rsid w:val="002E7AE9"/>
    <w:rsid w:val="002E7FB3"/>
    <w:rsid w:val="002F00D0"/>
    <w:rsid w:val="002F05A0"/>
    <w:rsid w:val="002F195F"/>
    <w:rsid w:val="002F1A32"/>
    <w:rsid w:val="002F1EF5"/>
    <w:rsid w:val="002F2D31"/>
    <w:rsid w:val="002F504A"/>
    <w:rsid w:val="002F64D8"/>
    <w:rsid w:val="00300D6B"/>
    <w:rsid w:val="00302E01"/>
    <w:rsid w:val="00307119"/>
    <w:rsid w:val="003104F1"/>
    <w:rsid w:val="00310AB3"/>
    <w:rsid w:val="00314D89"/>
    <w:rsid w:val="00315040"/>
    <w:rsid w:val="003150E5"/>
    <w:rsid w:val="00317888"/>
    <w:rsid w:val="0032322C"/>
    <w:rsid w:val="003243B9"/>
    <w:rsid w:val="0032711B"/>
    <w:rsid w:val="00332CBB"/>
    <w:rsid w:val="00333574"/>
    <w:rsid w:val="003352EF"/>
    <w:rsid w:val="00343498"/>
    <w:rsid w:val="003457A6"/>
    <w:rsid w:val="00350B62"/>
    <w:rsid w:val="00351A44"/>
    <w:rsid w:val="00355B36"/>
    <w:rsid w:val="003572C7"/>
    <w:rsid w:val="00357560"/>
    <w:rsid w:val="00363850"/>
    <w:rsid w:val="00364943"/>
    <w:rsid w:val="00365A6D"/>
    <w:rsid w:val="00366DC8"/>
    <w:rsid w:val="00372114"/>
    <w:rsid w:val="00372CFE"/>
    <w:rsid w:val="00374CE1"/>
    <w:rsid w:val="003800D5"/>
    <w:rsid w:val="003801C9"/>
    <w:rsid w:val="0038051D"/>
    <w:rsid w:val="00390B12"/>
    <w:rsid w:val="003917C6"/>
    <w:rsid w:val="0039320E"/>
    <w:rsid w:val="003944F0"/>
    <w:rsid w:val="003954C3"/>
    <w:rsid w:val="003A488D"/>
    <w:rsid w:val="003A4DE2"/>
    <w:rsid w:val="003A57D9"/>
    <w:rsid w:val="003B2025"/>
    <w:rsid w:val="003B3C75"/>
    <w:rsid w:val="003B5D1A"/>
    <w:rsid w:val="003B7C85"/>
    <w:rsid w:val="003C06EA"/>
    <w:rsid w:val="003D001B"/>
    <w:rsid w:val="003D13E7"/>
    <w:rsid w:val="003D32A7"/>
    <w:rsid w:val="003D3F5A"/>
    <w:rsid w:val="003D67FB"/>
    <w:rsid w:val="003D7B2A"/>
    <w:rsid w:val="003E40F0"/>
    <w:rsid w:val="003E45F6"/>
    <w:rsid w:val="003E4C89"/>
    <w:rsid w:val="003E7E3B"/>
    <w:rsid w:val="003E7F63"/>
    <w:rsid w:val="003F02D1"/>
    <w:rsid w:val="003F0581"/>
    <w:rsid w:val="003F0DEE"/>
    <w:rsid w:val="003F4A41"/>
    <w:rsid w:val="003F6865"/>
    <w:rsid w:val="004002B7"/>
    <w:rsid w:val="0040437B"/>
    <w:rsid w:val="00414EC9"/>
    <w:rsid w:val="0041758F"/>
    <w:rsid w:val="00421650"/>
    <w:rsid w:val="00425639"/>
    <w:rsid w:val="004266B9"/>
    <w:rsid w:val="004279D3"/>
    <w:rsid w:val="00430760"/>
    <w:rsid w:val="004314D2"/>
    <w:rsid w:val="004315B5"/>
    <w:rsid w:val="004319B7"/>
    <w:rsid w:val="00432305"/>
    <w:rsid w:val="00432F83"/>
    <w:rsid w:val="00433600"/>
    <w:rsid w:val="00434B6D"/>
    <w:rsid w:val="004378CC"/>
    <w:rsid w:val="0044133E"/>
    <w:rsid w:val="00443741"/>
    <w:rsid w:val="00444CC4"/>
    <w:rsid w:val="00445474"/>
    <w:rsid w:val="00447185"/>
    <w:rsid w:val="00447FB8"/>
    <w:rsid w:val="00451DA7"/>
    <w:rsid w:val="004632EE"/>
    <w:rsid w:val="00464FF3"/>
    <w:rsid w:val="0046689A"/>
    <w:rsid w:val="00470202"/>
    <w:rsid w:val="00471779"/>
    <w:rsid w:val="00472F77"/>
    <w:rsid w:val="004734F1"/>
    <w:rsid w:val="00475307"/>
    <w:rsid w:val="00475F0A"/>
    <w:rsid w:val="00475F30"/>
    <w:rsid w:val="00477E41"/>
    <w:rsid w:val="004803B0"/>
    <w:rsid w:val="004818D6"/>
    <w:rsid w:val="004866D7"/>
    <w:rsid w:val="0048704E"/>
    <w:rsid w:val="004873F3"/>
    <w:rsid w:val="0049122E"/>
    <w:rsid w:val="00491B9C"/>
    <w:rsid w:val="00492FC3"/>
    <w:rsid w:val="0049381D"/>
    <w:rsid w:val="004965FF"/>
    <w:rsid w:val="004A0BF3"/>
    <w:rsid w:val="004B250F"/>
    <w:rsid w:val="004B2AD8"/>
    <w:rsid w:val="004B53EB"/>
    <w:rsid w:val="004B61E8"/>
    <w:rsid w:val="004B7208"/>
    <w:rsid w:val="004C114A"/>
    <w:rsid w:val="004C2164"/>
    <w:rsid w:val="004C28E2"/>
    <w:rsid w:val="004D20CB"/>
    <w:rsid w:val="004D491B"/>
    <w:rsid w:val="004D5DD6"/>
    <w:rsid w:val="004D6A3E"/>
    <w:rsid w:val="004E0614"/>
    <w:rsid w:val="004E1C3C"/>
    <w:rsid w:val="004E274C"/>
    <w:rsid w:val="004E390B"/>
    <w:rsid w:val="004E409B"/>
    <w:rsid w:val="004E579F"/>
    <w:rsid w:val="004F0DCD"/>
    <w:rsid w:val="004F3B84"/>
    <w:rsid w:val="004F541E"/>
    <w:rsid w:val="004F6000"/>
    <w:rsid w:val="004F7F7E"/>
    <w:rsid w:val="005010C4"/>
    <w:rsid w:val="00504C9D"/>
    <w:rsid w:val="00504E78"/>
    <w:rsid w:val="0050513D"/>
    <w:rsid w:val="00506374"/>
    <w:rsid w:val="005158D7"/>
    <w:rsid w:val="00517842"/>
    <w:rsid w:val="00522C3F"/>
    <w:rsid w:val="00523B32"/>
    <w:rsid w:val="0052596D"/>
    <w:rsid w:val="00526933"/>
    <w:rsid w:val="00526FEC"/>
    <w:rsid w:val="00530FD5"/>
    <w:rsid w:val="00533616"/>
    <w:rsid w:val="00543FEE"/>
    <w:rsid w:val="0055263C"/>
    <w:rsid w:val="00555220"/>
    <w:rsid w:val="00556333"/>
    <w:rsid w:val="00566C97"/>
    <w:rsid w:val="00567DD1"/>
    <w:rsid w:val="005736C4"/>
    <w:rsid w:val="0057413B"/>
    <w:rsid w:val="0057584E"/>
    <w:rsid w:val="005760AB"/>
    <w:rsid w:val="00577A98"/>
    <w:rsid w:val="0058388D"/>
    <w:rsid w:val="00590054"/>
    <w:rsid w:val="005901C0"/>
    <w:rsid w:val="00590859"/>
    <w:rsid w:val="00594AEF"/>
    <w:rsid w:val="00596621"/>
    <w:rsid w:val="005A06EE"/>
    <w:rsid w:val="005A48E5"/>
    <w:rsid w:val="005A7C15"/>
    <w:rsid w:val="005A7DAE"/>
    <w:rsid w:val="005B06ED"/>
    <w:rsid w:val="005B09DE"/>
    <w:rsid w:val="005B38C4"/>
    <w:rsid w:val="005B6102"/>
    <w:rsid w:val="005C2861"/>
    <w:rsid w:val="005C61CA"/>
    <w:rsid w:val="005C6F93"/>
    <w:rsid w:val="005D0ED5"/>
    <w:rsid w:val="005D4BC5"/>
    <w:rsid w:val="005D5877"/>
    <w:rsid w:val="005D5B33"/>
    <w:rsid w:val="005E11DF"/>
    <w:rsid w:val="005E7DA9"/>
    <w:rsid w:val="005F3045"/>
    <w:rsid w:val="005F4B7C"/>
    <w:rsid w:val="005F566D"/>
    <w:rsid w:val="005F6A3E"/>
    <w:rsid w:val="00602BE9"/>
    <w:rsid w:val="00602C80"/>
    <w:rsid w:val="00603B0D"/>
    <w:rsid w:val="006042D4"/>
    <w:rsid w:val="006105E5"/>
    <w:rsid w:val="00610DF2"/>
    <w:rsid w:val="00611069"/>
    <w:rsid w:val="00611991"/>
    <w:rsid w:val="00614267"/>
    <w:rsid w:val="006169F7"/>
    <w:rsid w:val="0061710F"/>
    <w:rsid w:val="0062686C"/>
    <w:rsid w:val="0063692B"/>
    <w:rsid w:val="00640733"/>
    <w:rsid w:val="00641310"/>
    <w:rsid w:val="006452C9"/>
    <w:rsid w:val="006457BC"/>
    <w:rsid w:val="0065160A"/>
    <w:rsid w:val="00651A33"/>
    <w:rsid w:val="00652168"/>
    <w:rsid w:val="00653DB2"/>
    <w:rsid w:val="00656A62"/>
    <w:rsid w:val="00660EBD"/>
    <w:rsid w:val="006621E1"/>
    <w:rsid w:val="006666D5"/>
    <w:rsid w:val="0066780B"/>
    <w:rsid w:val="0067130F"/>
    <w:rsid w:val="006733DF"/>
    <w:rsid w:val="00674F22"/>
    <w:rsid w:val="00675EAD"/>
    <w:rsid w:val="00697417"/>
    <w:rsid w:val="006A2528"/>
    <w:rsid w:val="006A3A29"/>
    <w:rsid w:val="006A6D28"/>
    <w:rsid w:val="006B00E6"/>
    <w:rsid w:val="006B1924"/>
    <w:rsid w:val="006B55B0"/>
    <w:rsid w:val="006B5D04"/>
    <w:rsid w:val="006C21B3"/>
    <w:rsid w:val="006C4025"/>
    <w:rsid w:val="006C47BF"/>
    <w:rsid w:val="006D3684"/>
    <w:rsid w:val="006D5D93"/>
    <w:rsid w:val="006E0D3E"/>
    <w:rsid w:val="006E0E29"/>
    <w:rsid w:val="006E336A"/>
    <w:rsid w:val="006E389A"/>
    <w:rsid w:val="0070048C"/>
    <w:rsid w:val="00701C0C"/>
    <w:rsid w:val="0070365B"/>
    <w:rsid w:val="00704F6F"/>
    <w:rsid w:val="007051D6"/>
    <w:rsid w:val="007059B8"/>
    <w:rsid w:val="007108B5"/>
    <w:rsid w:val="00711B41"/>
    <w:rsid w:val="00711EF4"/>
    <w:rsid w:val="00712611"/>
    <w:rsid w:val="00713487"/>
    <w:rsid w:val="00714530"/>
    <w:rsid w:val="0071757B"/>
    <w:rsid w:val="00723303"/>
    <w:rsid w:val="00723910"/>
    <w:rsid w:val="007257FA"/>
    <w:rsid w:val="00725BDE"/>
    <w:rsid w:val="00731536"/>
    <w:rsid w:val="00731F1A"/>
    <w:rsid w:val="00732D11"/>
    <w:rsid w:val="00734218"/>
    <w:rsid w:val="00735C8C"/>
    <w:rsid w:val="00736CDE"/>
    <w:rsid w:val="007458B0"/>
    <w:rsid w:val="0074593E"/>
    <w:rsid w:val="00745F10"/>
    <w:rsid w:val="007475B1"/>
    <w:rsid w:val="007709F6"/>
    <w:rsid w:val="007723A2"/>
    <w:rsid w:val="00773247"/>
    <w:rsid w:val="00773261"/>
    <w:rsid w:val="00775648"/>
    <w:rsid w:val="00775C15"/>
    <w:rsid w:val="0077681E"/>
    <w:rsid w:val="007819A2"/>
    <w:rsid w:val="00786AD9"/>
    <w:rsid w:val="0079035B"/>
    <w:rsid w:val="00791E21"/>
    <w:rsid w:val="00792A0B"/>
    <w:rsid w:val="00793C13"/>
    <w:rsid w:val="00795FD2"/>
    <w:rsid w:val="00797473"/>
    <w:rsid w:val="007A43E3"/>
    <w:rsid w:val="007A6A63"/>
    <w:rsid w:val="007B11BB"/>
    <w:rsid w:val="007B2E56"/>
    <w:rsid w:val="007B38C7"/>
    <w:rsid w:val="007B63B0"/>
    <w:rsid w:val="007B7FEE"/>
    <w:rsid w:val="007C1647"/>
    <w:rsid w:val="007C4E09"/>
    <w:rsid w:val="007C53D7"/>
    <w:rsid w:val="007C60BC"/>
    <w:rsid w:val="007C62CA"/>
    <w:rsid w:val="007C639C"/>
    <w:rsid w:val="007C7B10"/>
    <w:rsid w:val="007D1721"/>
    <w:rsid w:val="007D29CD"/>
    <w:rsid w:val="007D4FBC"/>
    <w:rsid w:val="007D7642"/>
    <w:rsid w:val="007E112B"/>
    <w:rsid w:val="007E4B74"/>
    <w:rsid w:val="007E5390"/>
    <w:rsid w:val="007E7B56"/>
    <w:rsid w:val="007F1060"/>
    <w:rsid w:val="007F3F17"/>
    <w:rsid w:val="007F534A"/>
    <w:rsid w:val="007F5BA5"/>
    <w:rsid w:val="007F680D"/>
    <w:rsid w:val="007F698E"/>
    <w:rsid w:val="007F6F80"/>
    <w:rsid w:val="0080172A"/>
    <w:rsid w:val="00801F3F"/>
    <w:rsid w:val="0080592E"/>
    <w:rsid w:val="0080599D"/>
    <w:rsid w:val="00811F77"/>
    <w:rsid w:val="008174D6"/>
    <w:rsid w:val="008228D9"/>
    <w:rsid w:val="00826B04"/>
    <w:rsid w:val="00827A1B"/>
    <w:rsid w:val="00827BEC"/>
    <w:rsid w:val="0083499A"/>
    <w:rsid w:val="0083536E"/>
    <w:rsid w:val="00835AE5"/>
    <w:rsid w:val="00835BD4"/>
    <w:rsid w:val="0084316C"/>
    <w:rsid w:val="008470B4"/>
    <w:rsid w:val="0085044B"/>
    <w:rsid w:val="00851D6F"/>
    <w:rsid w:val="008535DE"/>
    <w:rsid w:val="0085405F"/>
    <w:rsid w:val="00855DF0"/>
    <w:rsid w:val="008652EC"/>
    <w:rsid w:val="00866A64"/>
    <w:rsid w:val="008674E8"/>
    <w:rsid w:val="00867C08"/>
    <w:rsid w:val="00872B99"/>
    <w:rsid w:val="0087441E"/>
    <w:rsid w:val="00882F82"/>
    <w:rsid w:val="00883D9E"/>
    <w:rsid w:val="008940E3"/>
    <w:rsid w:val="00894C3F"/>
    <w:rsid w:val="008954BD"/>
    <w:rsid w:val="0089632D"/>
    <w:rsid w:val="0089679B"/>
    <w:rsid w:val="00897752"/>
    <w:rsid w:val="008A01D8"/>
    <w:rsid w:val="008A04A4"/>
    <w:rsid w:val="008A1684"/>
    <w:rsid w:val="008A4AF5"/>
    <w:rsid w:val="008A5C1D"/>
    <w:rsid w:val="008B1408"/>
    <w:rsid w:val="008B17EE"/>
    <w:rsid w:val="008B2221"/>
    <w:rsid w:val="008B2A4B"/>
    <w:rsid w:val="008B4FB6"/>
    <w:rsid w:val="008C346B"/>
    <w:rsid w:val="008C61C6"/>
    <w:rsid w:val="008C66A8"/>
    <w:rsid w:val="008C6EAE"/>
    <w:rsid w:val="008C7D55"/>
    <w:rsid w:val="008D0EC4"/>
    <w:rsid w:val="008D29D2"/>
    <w:rsid w:val="008D2D71"/>
    <w:rsid w:val="008D3373"/>
    <w:rsid w:val="008E0084"/>
    <w:rsid w:val="008E09A5"/>
    <w:rsid w:val="008E23FF"/>
    <w:rsid w:val="008E46F7"/>
    <w:rsid w:val="008E5301"/>
    <w:rsid w:val="008E596E"/>
    <w:rsid w:val="008E6C9F"/>
    <w:rsid w:val="008F2AE2"/>
    <w:rsid w:val="008F3993"/>
    <w:rsid w:val="008F6D84"/>
    <w:rsid w:val="00906918"/>
    <w:rsid w:val="0090788E"/>
    <w:rsid w:val="009109A6"/>
    <w:rsid w:val="0091454D"/>
    <w:rsid w:val="0091588C"/>
    <w:rsid w:val="009209C9"/>
    <w:rsid w:val="00920DB7"/>
    <w:rsid w:val="00923383"/>
    <w:rsid w:val="00924657"/>
    <w:rsid w:val="009436F9"/>
    <w:rsid w:val="00943744"/>
    <w:rsid w:val="0094565F"/>
    <w:rsid w:val="00947137"/>
    <w:rsid w:val="00954065"/>
    <w:rsid w:val="00954F45"/>
    <w:rsid w:val="00955404"/>
    <w:rsid w:val="0096518D"/>
    <w:rsid w:val="00970A24"/>
    <w:rsid w:val="00974515"/>
    <w:rsid w:val="00975EE3"/>
    <w:rsid w:val="009801E4"/>
    <w:rsid w:val="00981245"/>
    <w:rsid w:val="00982697"/>
    <w:rsid w:val="00982E2F"/>
    <w:rsid w:val="00985248"/>
    <w:rsid w:val="00986B7C"/>
    <w:rsid w:val="00987223"/>
    <w:rsid w:val="00987B55"/>
    <w:rsid w:val="0099454A"/>
    <w:rsid w:val="00994D3A"/>
    <w:rsid w:val="00996ADA"/>
    <w:rsid w:val="009A0776"/>
    <w:rsid w:val="009A196B"/>
    <w:rsid w:val="009A28F3"/>
    <w:rsid w:val="009A2B33"/>
    <w:rsid w:val="009A3525"/>
    <w:rsid w:val="009A4318"/>
    <w:rsid w:val="009A5346"/>
    <w:rsid w:val="009A6404"/>
    <w:rsid w:val="009A7184"/>
    <w:rsid w:val="009B10D9"/>
    <w:rsid w:val="009B1C6D"/>
    <w:rsid w:val="009B1C8D"/>
    <w:rsid w:val="009B4D08"/>
    <w:rsid w:val="009B72BE"/>
    <w:rsid w:val="009C0ABA"/>
    <w:rsid w:val="009C1C5A"/>
    <w:rsid w:val="009C1F0A"/>
    <w:rsid w:val="009C622E"/>
    <w:rsid w:val="009D0D69"/>
    <w:rsid w:val="009D2C93"/>
    <w:rsid w:val="009D2FEA"/>
    <w:rsid w:val="009D327D"/>
    <w:rsid w:val="009D40A3"/>
    <w:rsid w:val="009D4C72"/>
    <w:rsid w:val="009D50E1"/>
    <w:rsid w:val="009D7D76"/>
    <w:rsid w:val="009E0D58"/>
    <w:rsid w:val="009E3EDC"/>
    <w:rsid w:val="009E64F3"/>
    <w:rsid w:val="009F0095"/>
    <w:rsid w:val="009F4BB7"/>
    <w:rsid w:val="009F5A4F"/>
    <w:rsid w:val="009F5A63"/>
    <w:rsid w:val="009F6F60"/>
    <w:rsid w:val="00A02658"/>
    <w:rsid w:val="00A06CF8"/>
    <w:rsid w:val="00A11546"/>
    <w:rsid w:val="00A13FAE"/>
    <w:rsid w:val="00A14C58"/>
    <w:rsid w:val="00A200E2"/>
    <w:rsid w:val="00A25472"/>
    <w:rsid w:val="00A32308"/>
    <w:rsid w:val="00A326A7"/>
    <w:rsid w:val="00A34B84"/>
    <w:rsid w:val="00A3518E"/>
    <w:rsid w:val="00A37EBC"/>
    <w:rsid w:val="00A42B77"/>
    <w:rsid w:val="00A50E00"/>
    <w:rsid w:val="00A52267"/>
    <w:rsid w:val="00A5291F"/>
    <w:rsid w:val="00A5526C"/>
    <w:rsid w:val="00A56A47"/>
    <w:rsid w:val="00A61B6F"/>
    <w:rsid w:val="00A64649"/>
    <w:rsid w:val="00A6595C"/>
    <w:rsid w:val="00A65B9A"/>
    <w:rsid w:val="00A67342"/>
    <w:rsid w:val="00A67955"/>
    <w:rsid w:val="00A67B34"/>
    <w:rsid w:val="00A73524"/>
    <w:rsid w:val="00A764DA"/>
    <w:rsid w:val="00A76CE8"/>
    <w:rsid w:val="00A8168B"/>
    <w:rsid w:val="00A879AF"/>
    <w:rsid w:val="00A91D93"/>
    <w:rsid w:val="00A93461"/>
    <w:rsid w:val="00A93657"/>
    <w:rsid w:val="00A94717"/>
    <w:rsid w:val="00A96712"/>
    <w:rsid w:val="00A96C23"/>
    <w:rsid w:val="00AA06CD"/>
    <w:rsid w:val="00AA3D6D"/>
    <w:rsid w:val="00AA4352"/>
    <w:rsid w:val="00AA707F"/>
    <w:rsid w:val="00AB044C"/>
    <w:rsid w:val="00AB0B13"/>
    <w:rsid w:val="00AB3058"/>
    <w:rsid w:val="00AB38EE"/>
    <w:rsid w:val="00AC36BD"/>
    <w:rsid w:val="00AC771B"/>
    <w:rsid w:val="00AD5190"/>
    <w:rsid w:val="00AD5CD4"/>
    <w:rsid w:val="00AE144C"/>
    <w:rsid w:val="00AE2061"/>
    <w:rsid w:val="00AE2D5A"/>
    <w:rsid w:val="00AE36D8"/>
    <w:rsid w:val="00AE542A"/>
    <w:rsid w:val="00AF27DC"/>
    <w:rsid w:val="00AF5972"/>
    <w:rsid w:val="00AF5ADF"/>
    <w:rsid w:val="00B0056D"/>
    <w:rsid w:val="00B01918"/>
    <w:rsid w:val="00B05401"/>
    <w:rsid w:val="00B06E18"/>
    <w:rsid w:val="00B1488F"/>
    <w:rsid w:val="00B15333"/>
    <w:rsid w:val="00B1568D"/>
    <w:rsid w:val="00B200DD"/>
    <w:rsid w:val="00B213BE"/>
    <w:rsid w:val="00B24B50"/>
    <w:rsid w:val="00B27664"/>
    <w:rsid w:val="00B30099"/>
    <w:rsid w:val="00B31915"/>
    <w:rsid w:val="00B33AD7"/>
    <w:rsid w:val="00B35CBA"/>
    <w:rsid w:val="00B5175E"/>
    <w:rsid w:val="00B51C58"/>
    <w:rsid w:val="00B52288"/>
    <w:rsid w:val="00B528EA"/>
    <w:rsid w:val="00B52C4F"/>
    <w:rsid w:val="00B5420C"/>
    <w:rsid w:val="00B55542"/>
    <w:rsid w:val="00B5557C"/>
    <w:rsid w:val="00B556F0"/>
    <w:rsid w:val="00B56B65"/>
    <w:rsid w:val="00B600DD"/>
    <w:rsid w:val="00B60EF3"/>
    <w:rsid w:val="00B62667"/>
    <w:rsid w:val="00B63213"/>
    <w:rsid w:val="00B665D2"/>
    <w:rsid w:val="00B66AB4"/>
    <w:rsid w:val="00B75271"/>
    <w:rsid w:val="00B77386"/>
    <w:rsid w:val="00B803B5"/>
    <w:rsid w:val="00B8201F"/>
    <w:rsid w:val="00B837BB"/>
    <w:rsid w:val="00B858D7"/>
    <w:rsid w:val="00B87A79"/>
    <w:rsid w:val="00B92DF9"/>
    <w:rsid w:val="00B93F72"/>
    <w:rsid w:val="00B95460"/>
    <w:rsid w:val="00BA05F3"/>
    <w:rsid w:val="00BA27D8"/>
    <w:rsid w:val="00BA5739"/>
    <w:rsid w:val="00BA6D56"/>
    <w:rsid w:val="00BA6FD0"/>
    <w:rsid w:val="00BB2AEE"/>
    <w:rsid w:val="00BB2EE1"/>
    <w:rsid w:val="00BB42A2"/>
    <w:rsid w:val="00BC0CB8"/>
    <w:rsid w:val="00BC17D5"/>
    <w:rsid w:val="00BC32F5"/>
    <w:rsid w:val="00BC7205"/>
    <w:rsid w:val="00BD062C"/>
    <w:rsid w:val="00BD4633"/>
    <w:rsid w:val="00BD5055"/>
    <w:rsid w:val="00BD5AC8"/>
    <w:rsid w:val="00BD5C2F"/>
    <w:rsid w:val="00BD5C58"/>
    <w:rsid w:val="00BD6803"/>
    <w:rsid w:val="00BD6D84"/>
    <w:rsid w:val="00BE2F93"/>
    <w:rsid w:val="00BE6283"/>
    <w:rsid w:val="00BE6D20"/>
    <w:rsid w:val="00BE742A"/>
    <w:rsid w:val="00BF035B"/>
    <w:rsid w:val="00BF0B0E"/>
    <w:rsid w:val="00BF0FAD"/>
    <w:rsid w:val="00BF2944"/>
    <w:rsid w:val="00BF2AD0"/>
    <w:rsid w:val="00BF3393"/>
    <w:rsid w:val="00C010CC"/>
    <w:rsid w:val="00C05684"/>
    <w:rsid w:val="00C056C8"/>
    <w:rsid w:val="00C0577D"/>
    <w:rsid w:val="00C13C2F"/>
    <w:rsid w:val="00C162EF"/>
    <w:rsid w:val="00C170D0"/>
    <w:rsid w:val="00C21B77"/>
    <w:rsid w:val="00C23978"/>
    <w:rsid w:val="00C252E5"/>
    <w:rsid w:val="00C26018"/>
    <w:rsid w:val="00C26CB6"/>
    <w:rsid w:val="00C26E16"/>
    <w:rsid w:val="00C32F10"/>
    <w:rsid w:val="00C32F19"/>
    <w:rsid w:val="00C33B09"/>
    <w:rsid w:val="00C33DF1"/>
    <w:rsid w:val="00C36B2E"/>
    <w:rsid w:val="00C40442"/>
    <w:rsid w:val="00C41FEB"/>
    <w:rsid w:val="00C428A6"/>
    <w:rsid w:val="00C4321D"/>
    <w:rsid w:val="00C51CE3"/>
    <w:rsid w:val="00C53227"/>
    <w:rsid w:val="00C56F5C"/>
    <w:rsid w:val="00C57E46"/>
    <w:rsid w:val="00C60D54"/>
    <w:rsid w:val="00C61325"/>
    <w:rsid w:val="00C61857"/>
    <w:rsid w:val="00C61B45"/>
    <w:rsid w:val="00C651FB"/>
    <w:rsid w:val="00C70A31"/>
    <w:rsid w:val="00C70EF7"/>
    <w:rsid w:val="00C818B3"/>
    <w:rsid w:val="00C81F4F"/>
    <w:rsid w:val="00C825D7"/>
    <w:rsid w:val="00C83CBD"/>
    <w:rsid w:val="00C84E7D"/>
    <w:rsid w:val="00C8685F"/>
    <w:rsid w:val="00C86A58"/>
    <w:rsid w:val="00C91B28"/>
    <w:rsid w:val="00C92ED8"/>
    <w:rsid w:val="00CA3F01"/>
    <w:rsid w:val="00CA7B6F"/>
    <w:rsid w:val="00CB1DA3"/>
    <w:rsid w:val="00CB2F83"/>
    <w:rsid w:val="00CB60B9"/>
    <w:rsid w:val="00CB661B"/>
    <w:rsid w:val="00CC0354"/>
    <w:rsid w:val="00CC12EB"/>
    <w:rsid w:val="00CC25BB"/>
    <w:rsid w:val="00CC2961"/>
    <w:rsid w:val="00CC7CFA"/>
    <w:rsid w:val="00CD4740"/>
    <w:rsid w:val="00CD53B4"/>
    <w:rsid w:val="00CD54C3"/>
    <w:rsid w:val="00CE3A62"/>
    <w:rsid w:val="00CE427A"/>
    <w:rsid w:val="00CE5378"/>
    <w:rsid w:val="00CF38FC"/>
    <w:rsid w:val="00CF3D81"/>
    <w:rsid w:val="00CF7C63"/>
    <w:rsid w:val="00D01E53"/>
    <w:rsid w:val="00D03D0E"/>
    <w:rsid w:val="00D03DE0"/>
    <w:rsid w:val="00D05449"/>
    <w:rsid w:val="00D05CE6"/>
    <w:rsid w:val="00D1138E"/>
    <w:rsid w:val="00D17B0F"/>
    <w:rsid w:val="00D20993"/>
    <w:rsid w:val="00D2682A"/>
    <w:rsid w:val="00D26AEF"/>
    <w:rsid w:val="00D277AE"/>
    <w:rsid w:val="00D3140D"/>
    <w:rsid w:val="00D324FA"/>
    <w:rsid w:val="00D3618D"/>
    <w:rsid w:val="00D3662F"/>
    <w:rsid w:val="00D366E5"/>
    <w:rsid w:val="00D374B8"/>
    <w:rsid w:val="00D40676"/>
    <w:rsid w:val="00D4489C"/>
    <w:rsid w:val="00D45EA2"/>
    <w:rsid w:val="00D4634F"/>
    <w:rsid w:val="00D47266"/>
    <w:rsid w:val="00D51AF5"/>
    <w:rsid w:val="00D52662"/>
    <w:rsid w:val="00D55ADB"/>
    <w:rsid w:val="00D570C9"/>
    <w:rsid w:val="00D612C4"/>
    <w:rsid w:val="00D6251A"/>
    <w:rsid w:val="00D6377C"/>
    <w:rsid w:val="00D663F8"/>
    <w:rsid w:val="00D67B84"/>
    <w:rsid w:val="00D745DA"/>
    <w:rsid w:val="00D76C33"/>
    <w:rsid w:val="00D80330"/>
    <w:rsid w:val="00D837E6"/>
    <w:rsid w:val="00D84A63"/>
    <w:rsid w:val="00D8515B"/>
    <w:rsid w:val="00D90C5F"/>
    <w:rsid w:val="00D93034"/>
    <w:rsid w:val="00D97442"/>
    <w:rsid w:val="00DA2074"/>
    <w:rsid w:val="00DA35C2"/>
    <w:rsid w:val="00DB2D8E"/>
    <w:rsid w:val="00DC3945"/>
    <w:rsid w:val="00DC462D"/>
    <w:rsid w:val="00DC510D"/>
    <w:rsid w:val="00DD5377"/>
    <w:rsid w:val="00DE018C"/>
    <w:rsid w:val="00DE0613"/>
    <w:rsid w:val="00DE0B0A"/>
    <w:rsid w:val="00DE2FC8"/>
    <w:rsid w:val="00DE713E"/>
    <w:rsid w:val="00DE79CE"/>
    <w:rsid w:val="00DE7D8F"/>
    <w:rsid w:val="00DF0AA5"/>
    <w:rsid w:val="00DF4599"/>
    <w:rsid w:val="00DF6EEA"/>
    <w:rsid w:val="00DF6FCF"/>
    <w:rsid w:val="00E005BD"/>
    <w:rsid w:val="00E008C5"/>
    <w:rsid w:val="00E03418"/>
    <w:rsid w:val="00E03AD7"/>
    <w:rsid w:val="00E06470"/>
    <w:rsid w:val="00E26190"/>
    <w:rsid w:val="00E2696C"/>
    <w:rsid w:val="00E33DEB"/>
    <w:rsid w:val="00E34AEA"/>
    <w:rsid w:val="00E431B9"/>
    <w:rsid w:val="00E44C41"/>
    <w:rsid w:val="00E45C7C"/>
    <w:rsid w:val="00E50BCB"/>
    <w:rsid w:val="00E561C3"/>
    <w:rsid w:val="00E56463"/>
    <w:rsid w:val="00E60FEE"/>
    <w:rsid w:val="00E6269D"/>
    <w:rsid w:val="00E658E6"/>
    <w:rsid w:val="00E702BA"/>
    <w:rsid w:val="00E73CA0"/>
    <w:rsid w:val="00E74C60"/>
    <w:rsid w:val="00E77BE9"/>
    <w:rsid w:val="00E80997"/>
    <w:rsid w:val="00E81129"/>
    <w:rsid w:val="00E845EA"/>
    <w:rsid w:val="00E86ED8"/>
    <w:rsid w:val="00E87835"/>
    <w:rsid w:val="00E9052C"/>
    <w:rsid w:val="00E93AD6"/>
    <w:rsid w:val="00E95050"/>
    <w:rsid w:val="00EA1ABB"/>
    <w:rsid w:val="00EA2F26"/>
    <w:rsid w:val="00EA42FD"/>
    <w:rsid w:val="00EA5568"/>
    <w:rsid w:val="00EB02F1"/>
    <w:rsid w:val="00EB4E1B"/>
    <w:rsid w:val="00EB513E"/>
    <w:rsid w:val="00EB7572"/>
    <w:rsid w:val="00EC361B"/>
    <w:rsid w:val="00EC4BE8"/>
    <w:rsid w:val="00ED388A"/>
    <w:rsid w:val="00ED3F93"/>
    <w:rsid w:val="00ED41EE"/>
    <w:rsid w:val="00ED4540"/>
    <w:rsid w:val="00ED5BAF"/>
    <w:rsid w:val="00ED623C"/>
    <w:rsid w:val="00ED70FE"/>
    <w:rsid w:val="00ED780C"/>
    <w:rsid w:val="00EE02B7"/>
    <w:rsid w:val="00EE1B18"/>
    <w:rsid w:val="00EE1B32"/>
    <w:rsid w:val="00EE201F"/>
    <w:rsid w:val="00EE6050"/>
    <w:rsid w:val="00EE71F6"/>
    <w:rsid w:val="00EE7B64"/>
    <w:rsid w:val="00EF4F32"/>
    <w:rsid w:val="00EF64FA"/>
    <w:rsid w:val="00F03459"/>
    <w:rsid w:val="00F05456"/>
    <w:rsid w:val="00F06069"/>
    <w:rsid w:val="00F06107"/>
    <w:rsid w:val="00F06435"/>
    <w:rsid w:val="00F065C8"/>
    <w:rsid w:val="00F11886"/>
    <w:rsid w:val="00F143FD"/>
    <w:rsid w:val="00F1542D"/>
    <w:rsid w:val="00F20167"/>
    <w:rsid w:val="00F20998"/>
    <w:rsid w:val="00F209DB"/>
    <w:rsid w:val="00F2197A"/>
    <w:rsid w:val="00F21A10"/>
    <w:rsid w:val="00F241D0"/>
    <w:rsid w:val="00F31FF5"/>
    <w:rsid w:val="00F340B5"/>
    <w:rsid w:val="00F35DDB"/>
    <w:rsid w:val="00F3742F"/>
    <w:rsid w:val="00F37A3B"/>
    <w:rsid w:val="00F4035A"/>
    <w:rsid w:val="00F404EC"/>
    <w:rsid w:val="00F45578"/>
    <w:rsid w:val="00F47E76"/>
    <w:rsid w:val="00F5253E"/>
    <w:rsid w:val="00F54C25"/>
    <w:rsid w:val="00F55096"/>
    <w:rsid w:val="00F603C5"/>
    <w:rsid w:val="00F6589A"/>
    <w:rsid w:val="00F71466"/>
    <w:rsid w:val="00F73E5F"/>
    <w:rsid w:val="00F75C71"/>
    <w:rsid w:val="00F75DA8"/>
    <w:rsid w:val="00F769F5"/>
    <w:rsid w:val="00F76D16"/>
    <w:rsid w:val="00F82C4B"/>
    <w:rsid w:val="00F841CD"/>
    <w:rsid w:val="00F87CFD"/>
    <w:rsid w:val="00F94EBD"/>
    <w:rsid w:val="00F97287"/>
    <w:rsid w:val="00F97EA9"/>
    <w:rsid w:val="00FA0513"/>
    <w:rsid w:val="00FA349D"/>
    <w:rsid w:val="00FA77DF"/>
    <w:rsid w:val="00FA7BA6"/>
    <w:rsid w:val="00FB0E8B"/>
    <w:rsid w:val="00FB3F1E"/>
    <w:rsid w:val="00FB4A07"/>
    <w:rsid w:val="00FC3235"/>
    <w:rsid w:val="00FC59C9"/>
    <w:rsid w:val="00FC6C98"/>
    <w:rsid w:val="00FC6D14"/>
    <w:rsid w:val="00FC7B3C"/>
    <w:rsid w:val="00FC7D30"/>
    <w:rsid w:val="00FC7FA2"/>
    <w:rsid w:val="00FD0C32"/>
    <w:rsid w:val="00FD2F1F"/>
    <w:rsid w:val="00FD42B5"/>
    <w:rsid w:val="00FE08A6"/>
    <w:rsid w:val="00FE0C16"/>
    <w:rsid w:val="00FE27B4"/>
    <w:rsid w:val="00FF6CF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silver"/>
    </o:shapedefaults>
    <o:shapelayout v:ext="edit">
      <o:idmap v:ext="edit" data="2"/>
    </o:shapelayout>
  </w:shapeDefaults>
  <w:decimalSymbol w:val=","/>
  <w:listSeparator w:val=";"/>
  <w14:docId w14:val="37DABB43"/>
  <w15:docId w15:val="{881D8C2C-69C0-4B41-8F9C-24E465CC0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9"/>
        <w:szCs w:val="19"/>
        <w:lang w:val="de-DE" w:eastAsia="en-US" w:bidi="ar-SA"/>
      </w:rPr>
    </w:rPrDefault>
    <w:pPrDefault>
      <w:pPr>
        <w:spacing w:line="260" w:lineRule="atLeast"/>
      </w:pPr>
    </w:pPrDefault>
  </w:docDefaults>
  <w:latentStyles w:defLockedState="0" w:defUIPriority="99" w:defSemiHidden="0" w:defUnhideWhenUsed="0" w:defQFormat="0" w:count="376">
    <w:lsdException w:name="heading 1" w:uiPriority="2" w:qFormat="1"/>
    <w:lsdException w:name="heading 2" w:uiPriority="2" w:qFormat="1"/>
    <w:lsdException w:name="heading 3" w:uiPriority="2" w:qFormat="1"/>
    <w:lsdException w:name="heading 4" w:uiPriority="2" w:qFormat="1"/>
    <w:lsdException w:name="heading 5" w:semiHidden="1" w:uiPriority="2" w:unhideWhenUsed="1" w:qFormat="1"/>
    <w:lsdException w:name="heading 6" w:semiHidden="1" w:uiPriority="40" w:unhideWhenUsed="1"/>
    <w:lsdException w:name="heading 7" w:semiHidden="1" w:uiPriority="40" w:unhideWhenUsed="1"/>
    <w:lsdException w:name="heading 8" w:semiHidden="1" w:uiPriority="40" w:unhideWhenUsed="1"/>
    <w:lsdException w:name="heading 9" w:semiHidden="1" w:uiPriority="4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4" w:unhideWhenUsed="1"/>
    <w:lsdException w:name="toc 5" w:semiHidden="1" w:uiPriority="44" w:unhideWhenUsed="1"/>
    <w:lsdException w:name="toc 6" w:semiHidden="1" w:uiPriority="44" w:unhideWhenUsed="1"/>
    <w:lsdException w:name="toc 7" w:semiHidden="1" w:uiPriority="44" w:unhideWhenUsed="1"/>
    <w:lsdException w:name="toc 8" w:semiHidden="1" w:uiPriority="44" w:unhideWhenUsed="1"/>
    <w:lsdException w:name="toc 9" w:semiHidden="1" w:uiPriority="44" w:unhideWhenUsed="1"/>
    <w:lsdException w:name="Normal Indent" w:semiHidden="1" w:unhideWhenUsed="1"/>
    <w:lsdException w:name="footnote text" w:semiHidden="1" w:unhideWhenUsed="1"/>
    <w:lsdException w:name="annotation text" w:semiHidden="1" w:unhideWhenUsed="1"/>
    <w:lsdException w:name="header" w:semiHidden="1" w:uiPriority="48" w:unhideWhenUsed="1"/>
    <w:lsdException w:name="footer" w:semiHidden="1" w:uiPriority="48" w:unhideWhenUsed="1"/>
    <w:lsdException w:name="index heading" w:semiHidden="1" w:unhideWhenUsed="1"/>
    <w:lsdException w:name="caption" w:semiHidden="1" w:uiPriority="35"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qFormat="1"/>
    <w:lsdException w:name="List Number" w:semiHidden="1" w:uiPriority="2" w:unhideWhenUsed="1" w:qFormat="1"/>
    <w:lsdException w:name="List 2" w:semiHidden="1"/>
    <w:lsdException w:name="List 3" w:semiHidden="1"/>
    <w:lsdException w:name="List 4" w:semiHidden="1"/>
    <w:lsdException w:name="List 5" w:semiHidden="1"/>
    <w:lsdException w:name="List Bullet 2" w:semiHidden="1" w:uiPriority="2"/>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lsdException w:name="List Number 4" w:semiHidden="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lsdException w:name="Body Text Indent 2" w:semiHidden="1"/>
    <w:lsdException w:name="Body Text Indent 3" w:semiHidden="1"/>
    <w:lsdException w:name="Block Text" w:uiPriority="2"/>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5"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qFormat="1"/>
    <w:lsdException w:name="Intense Quote" w:semiHidden="1"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semiHidden="1" w:uiPriority="49" w:qFormat="1"/>
    <w:lsdException w:name="Intense Reference" w:semiHidden="1" w:uiPriority="49" w:qFormat="1"/>
    <w:lsdException w:name="Book Title" w:semiHidden="1" w:uiPriority="49" w:qFormat="1"/>
    <w:lsdException w:name="Bibliography" w:semiHidden="1" w:uiPriority="49"/>
    <w:lsdException w:name="TOC Heading" w:semiHidden="1" w:uiPriority="2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AC36BD"/>
    <w:rPr>
      <w:rFonts w:ascii="Arial" w:hAnsi="Arial"/>
      <w:kern w:val="12"/>
      <w:sz w:val="18"/>
      <w:lang w:val="en-US"/>
    </w:rPr>
  </w:style>
  <w:style w:type="paragraph" w:styleId="Heading1">
    <w:name w:val="heading 1"/>
    <w:aliases w:val="_Heading 1"/>
    <w:basedOn w:val="ABB-x-Heading"/>
    <w:next w:val="Body"/>
    <w:link w:val="Heading1Char"/>
    <w:uiPriority w:val="2"/>
    <w:qFormat/>
    <w:rsid w:val="005E7DA9"/>
    <w:pPr>
      <w:numPr>
        <w:numId w:val="23"/>
      </w:numPr>
      <w:spacing w:before="480" w:line="240" w:lineRule="auto"/>
      <w:outlineLvl w:val="0"/>
    </w:pPr>
    <w:rPr>
      <w:rFonts w:eastAsiaTheme="majorEastAsia" w:cstheme="majorBidi" w:ascii="Arial" w:hAnsi="Arial"/>
      <w:bCs/>
      <w:sz w:val="40"/>
      <w:szCs w:val="28"/>
    </w:rPr>
  </w:style>
  <w:style w:type="paragraph" w:styleId="Heading2">
    <w:name w:val="heading 2"/>
    <w:aliases w:val="_Heading 2"/>
    <w:basedOn w:val="ABB-x-Heading"/>
    <w:next w:val="Body"/>
    <w:link w:val="Heading2Char"/>
    <w:uiPriority w:val="2"/>
    <w:qFormat/>
    <w:rsid w:val="005E7DA9"/>
    <w:pPr>
      <w:numPr>
        <w:ilvl w:val="1"/>
        <w:numId w:val="23"/>
      </w:numPr>
      <w:spacing w:before="380" w:line="240" w:lineRule="auto"/>
      <w:outlineLvl w:val="1"/>
    </w:pPr>
    <w:rPr>
      <w:rFonts w:ascii="Arial" w:hAnsi="Arial"/>
      <w:sz w:val="32"/>
      <w:szCs w:val="26"/>
    </w:rPr>
  </w:style>
  <w:style w:type="paragraph" w:styleId="Heading3">
    <w:name w:val="heading 3"/>
    <w:aliases w:val="_Heading 3"/>
    <w:basedOn w:val="ABB-x-Heading"/>
    <w:next w:val="Body"/>
    <w:link w:val="Heading3Char"/>
    <w:uiPriority w:val="2"/>
    <w:qFormat/>
    <w:rsid w:val="005E7DA9"/>
    <w:pPr>
      <w:numPr>
        <w:ilvl w:val="2"/>
        <w:numId w:val="23"/>
      </w:numPr>
      <w:spacing w:before="290" w:line="240" w:lineRule="auto"/>
      <w:outlineLvl w:val="2"/>
    </w:pPr>
    <w:rPr>
      <w:rFonts w:ascii="Arial" w:hAnsi="Arial"/>
      <w:sz w:val="24"/>
    </w:rPr>
  </w:style>
  <w:style w:type="paragraph" w:styleId="Heading4">
    <w:name w:val="heading 4"/>
    <w:aliases w:val="_Heading 4"/>
    <w:basedOn w:val="ABB-x-Heading"/>
    <w:next w:val="Body"/>
    <w:link w:val="Heading4Char"/>
    <w:uiPriority w:val="2"/>
    <w:qFormat/>
    <w:rsid w:val="00491B9C"/>
    <w:pPr>
      <w:numPr>
        <w:ilvl w:val="3"/>
        <w:numId w:val="23"/>
      </w:numPr>
      <w:outlineLvl w:val="3"/>
    </w:pPr>
    <w:rPr>
      <w:rFonts w:eastAsiaTheme="majorEastAsia" w:cstheme="majorBidi"/>
      <w:bCs/>
      <w:iCs/>
    </w:rPr>
  </w:style>
  <w:style w:type="paragraph" w:styleId="Heading5">
    <w:name w:val="heading 5"/>
    <w:aliases w:val="_Heading 5"/>
    <w:basedOn w:val="ABB-x-Heading"/>
    <w:next w:val="Body"/>
    <w:link w:val="Heading5Char"/>
    <w:uiPriority w:val="2"/>
    <w:qFormat/>
    <w:rsid w:val="00491B9C"/>
    <w:pPr>
      <w:numPr>
        <w:ilvl w:val="4"/>
        <w:numId w:val="23"/>
      </w:numPr>
      <w:spacing w:before="200"/>
      <w:outlineLvl w:val="4"/>
    </w:pPr>
    <w:rPr>
      <w:rFonts w:eastAsiaTheme="majorEastAsia" w:cstheme="majorBidi"/>
    </w:rPr>
  </w:style>
  <w:style w:type="paragraph" w:styleId="Heading6">
    <w:name w:val="heading 6"/>
    <w:basedOn w:val="ABB-x-Heading"/>
    <w:next w:val="Body"/>
    <w:link w:val="Heading6Char"/>
    <w:uiPriority w:val="40"/>
    <w:semiHidden/>
    <w:rsid w:val="00C056C8"/>
    <w:pPr>
      <w:spacing w:before="200"/>
      <w:outlineLvl w:val="5"/>
    </w:pPr>
    <w:rPr>
      <w:rFonts w:eastAsiaTheme="majorEastAsia" w:cstheme="majorBidi"/>
      <w:iCs/>
    </w:rPr>
  </w:style>
  <w:style w:type="paragraph" w:styleId="Heading7">
    <w:name w:val="heading 7"/>
    <w:basedOn w:val="ABB-x-Heading"/>
    <w:next w:val="Body"/>
    <w:link w:val="Heading7Char"/>
    <w:uiPriority w:val="40"/>
    <w:semiHidden/>
    <w:rsid w:val="00C056C8"/>
    <w:pPr>
      <w:spacing w:before="200"/>
      <w:outlineLvl w:val="6"/>
    </w:pPr>
    <w:rPr>
      <w:rFonts w:eastAsiaTheme="majorEastAsia" w:cstheme="majorBidi"/>
      <w:iCs/>
    </w:rPr>
  </w:style>
  <w:style w:type="paragraph" w:styleId="Heading8">
    <w:name w:val="heading 8"/>
    <w:basedOn w:val="ABB-x-Heading"/>
    <w:next w:val="Body"/>
    <w:link w:val="Heading8Char"/>
    <w:uiPriority w:val="40"/>
    <w:semiHidden/>
    <w:rsid w:val="00C056C8"/>
    <w:pPr>
      <w:spacing w:before="200"/>
      <w:outlineLvl w:val="7"/>
    </w:pPr>
    <w:rPr>
      <w:rFonts w:eastAsiaTheme="majorEastAsia" w:cstheme="majorBidi"/>
    </w:rPr>
  </w:style>
  <w:style w:type="paragraph" w:styleId="Heading9">
    <w:name w:val="heading 9"/>
    <w:basedOn w:val="ABB-x-Heading"/>
    <w:next w:val="Body"/>
    <w:link w:val="Heading9Char"/>
    <w:uiPriority w:val="40"/>
    <w:semiHidden/>
    <w:rsid w:val="002E7AE9"/>
    <w:pPr>
      <w:spacing w:before="200"/>
      <w:outlineLvl w:val="8"/>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semiHidden/>
    <w:rsid w:val="002C564B"/>
    <w:pPr>
      <w:ind w:left="284"/>
      <w:contextualSpacing/>
    </w:pPr>
  </w:style>
  <w:style w:type="paragraph" w:customStyle="1" w:styleId="Indented2">
    <w:name w:val="_Indented2"/>
    <w:basedOn w:val="Indented"/>
    <w:autoRedefine/>
    <w:uiPriority w:val="6"/>
    <w:qFormat/>
    <w:rsid w:val="00302E01"/>
    <w:pPr>
      <w:ind w:left="708"/>
    </w:pPr>
  </w:style>
  <w:style w:type="paragraph" w:styleId="ListNumber2">
    <w:name w:val="List Number 2"/>
    <w:basedOn w:val="Normal"/>
    <w:uiPriority w:val="99"/>
    <w:semiHidden/>
    <w:rsid w:val="00D4489C"/>
    <w:pPr>
      <w:contextualSpacing/>
    </w:pPr>
  </w:style>
  <w:style w:type="numbering" w:customStyle="1" w:styleId="ABBBulletList">
    <w:name w:val="ABB Bullet List"/>
    <w:uiPriority w:val="99"/>
    <w:rsid w:val="004F0DCD"/>
    <w:pPr>
      <w:numPr>
        <w:numId w:val="1"/>
      </w:numPr>
    </w:pPr>
  </w:style>
  <w:style w:type="numbering" w:customStyle="1" w:styleId="ABBNumberedList">
    <w:name w:val="ABB Numbered List"/>
    <w:uiPriority w:val="99"/>
    <w:rsid w:val="00827A1B"/>
    <w:pPr>
      <w:numPr>
        <w:numId w:val="2"/>
      </w:numPr>
    </w:pPr>
  </w:style>
  <w:style w:type="character" w:styleId="Emphasis">
    <w:name w:val="Emphasis"/>
    <w:basedOn w:val="DefaultParagraphFont"/>
    <w:uiPriority w:val="99"/>
    <w:semiHidden/>
    <w:rsid w:val="007B7FEE"/>
    <w:rPr>
      <w:i/>
      <w:iCs/>
    </w:rPr>
  </w:style>
  <w:style w:type="character" w:styleId="SubtleEmphasis">
    <w:name w:val="Subtle Emphasis"/>
    <w:basedOn w:val="DefaultParagraphFont"/>
    <w:uiPriority w:val="49"/>
    <w:semiHidden/>
    <w:qFormat/>
    <w:rsid w:val="007B7FEE"/>
    <w:rPr>
      <w:i/>
      <w:iCs/>
      <w:color w:val="808080" w:themeColor="text1" w:themeTint="7F"/>
    </w:rPr>
  </w:style>
  <w:style w:type="character" w:styleId="IntenseEmphasis">
    <w:name w:val="Intense Emphasis"/>
    <w:basedOn w:val="DefaultParagraphFont"/>
    <w:uiPriority w:val="99"/>
    <w:semiHidden/>
    <w:rsid w:val="002A033B"/>
    <w:rPr>
      <w:b/>
      <w:bCs/>
      <w:iCs/>
      <w:color w:val="auto"/>
    </w:rPr>
  </w:style>
  <w:style w:type="character" w:styleId="Strong">
    <w:name w:val="Strong"/>
    <w:basedOn w:val="DefaultParagraphFont"/>
    <w:uiPriority w:val="99"/>
    <w:semiHidden/>
    <w:qFormat/>
    <w:rsid w:val="00F603C5"/>
    <w:rPr>
      <w:rFonts w:asciiTheme="minorHAnsi" w:hAnsiTheme="minorHAnsi"/>
      <w:b/>
      <w:bCs/>
    </w:rPr>
  </w:style>
  <w:style w:type="paragraph" w:styleId="Title">
    <w:name w:val="Title"/>
    <w:aliases w:val="_T2 Title"/>
    <w:basedOn w:val="ABB-x-Heading"/>
    <w:next w:val="Subtitle"/>
    <w:link w:val="TitleChar"/>
    <w:uiPriority w:val="11"/>
    <w:qFormat/>
    <w:rsid w:val="006C4025"/>
    <w:pPr>
      <w:spacing w:before="0" w:after="0" w:line="240" w:lineRule="auto"/>
    </w:pPr>
    <w:rPr>
      <w:rFonts w:eastAsiaTheme="majorEastAsia" w:cstheme="majorBidi"/>
      <w:sz w:val="50"/>
      <w:szCs w:val="52"/>
    </w:rPr>
  </w:style>
  <w:style w:type="character" w:customStyle="1" w:styleId="TitleChar">
    <w:name w:val="Title Char"/>
    <w:aliases w:val="_T2 Title Char"/>
    <w:basedOn w:val="DefaultParagraphFont"/>
    <w:link w:val="Title"/>
    <w:uiPriority w:val="11"/>
    <w:rsid w:val="00425639"/>
    <w:rPr>
      <w:rFonts w:asciiTheme="majorHAnsi" w:eastAsiaTheme="majorEastAsia" w:hAnsiTheme="majorHAnsi" w:cstheme="majorBidi"/>
      <w:b/>
      <w:kern w:val="12"/>
      <w:sz w:val="50"/>
      <w:szCs w:val="52"/>
      <w:lang w:val="en-US"/>
    </w:rPr>
  </w:style>
  <w:style w:type="paragraph" w:styleId="Caption">
    <w:name w:val="caption"/>
    <w:aliases w:val="_Fig Caption"/>
    <w:basedOn w:val="Body"/>
    <w:next w:val="Body"/>
    <w:uiPriority w:val="9"/>
    <w:qFormat/>
    <w:rsid w:val="0041758F"/>
    <w:pPr>
      <w:keepLines/>
      <w:spacing w:before="130" w:after="260"/>
      <w:jc w:val="center"/>
    </w:pPr>
    <w:rPr>
      <w:bCs/>
      <w:szCs w:val="18"/>
    </w:rPr>
  </w:style>
  <w:style w:type="character" w:styleId="FollowedHyperlink">
    <w:name w:val="FollowedHyperlink"/>
    <w:basedOn w:val="Hyperlink"/>
    <w:uiPriority w:val="99"/>
    <w:semiHidden/>
    <w:rsid w:val="00F87CFD"/>
    <w:rPr>
      <w:color w:val="6E6E6E" w:themeColor="followedHyperlink"/>
      <w:u w:val="none"/>
    </w:rPr>
  </w:style>
  <w:style w:type="paragraph" w:customStyle="1" w:styleId="zzNoPreprint">
    <w:name w:val="zz_NoPreprint"/>
    <w:basedOn w:val="ABB-x-HeaderFooter"/>
    <w:uiPriority w:val="99"/>
    <w:semiHidden/>
    <w:rsid w:val="004F6000"/>
    <w:rPr>
      <w:color w:val="BFBFBF" w:themeColor="background1" w:themeShade="BF"/>
    </w:rPr>
  </w:style>
  <w:style w:type="character" w:styleId="Hyperlink">
    <w:name w:val="Hyperlink"/>
    <w:basedOn w:val="DefaultParagraphFont"/>
    <w:uiPriority w:val="99"/>
    <w:rsid w:val="00F87CFD"/>
    <w:rPr>
      <w:color w:val="A9A9A9" w:themeColor="hyperlink"/>
      <w:u w:val="none"/>
    </w:rPr>
  </w:style>
  <w:style w:type="character" w:customStyle="1" w:styleId="Heading1Char">
    <w:name w:val="Heading 1 Char"/>
    <w:aliases w:val="_Heading 1 Char"/>
    <w:basedOn w:val="DefaultParagraphFont"/>
    <w:link w:val="Heading1"/>
    <w:uiPriority w:val="2"/>
    <w:rsid w:val="005E7DA9"/>
    <w:rPr>
      <w:rFonts w:asciiTheme="majorHAnsi" w:eastAsiaTheme="majorEastAsia" w:hAnsiTheme="majorHAnsi" w:cstheme="majorBidi"/>
      <w:b/>
      <w:bCs/>
      <w:kern w:val="12"/>
      <w:sz w:val="40"/>
      <w:szCs w:val="28"/>
      <w:lang w:val="en-US"/>
    </w:rPr>
  </w:style>
  <w:style w:type="character" w:customStyle="1" w:styleId="Heading2Char">
    <w:name w:val="Heading 2 Char"/>
    <w:aliases w:val="_Heading 2 Char"/>
    <w:basedOn w:val="DefaultParagraphFont"/>
    <w:link w:val="Heading2"/>
    <w:uiPriority w:val="2"/>
    <w:rsid w:val="005E7DA9"/>
    <w:rPr>
      <w:rFonts w:asciiTheme="majorHAnsi" w:hAnsiTheme="majorHAnsi"/>
      <w:b/>
      <w:kern w:val="12"/>
      <w:sz w:val="32"/>
      <w:szCs w:val="26"/>
      <w:lang w:val="en-US"/>
    </w:rPr>
  </w:style>
  <w:style w:type="character" w:customStyle="1" w:styleId="Heading3Char">
    <w:name w:val="Heading 3 Char"/>
    <w:aliases w:val="_Heading 3 Char"/>
    <w:basedOn w:val="DefaultParagraphFont"/>
    <w:link w:val="Heading3"/>
    <w:uiPriority w:val="2"/>
    <w:rsid w:val="005E7DA9"/>
    <w:rPr>
      <w:rFonts w:asciiTheme="majorHAnsi" w:hAnsiTheme="majorHAnsi"/>
      <w:b/>
      <w:kern w:val="12"/>
      <w:sz w:val="24"/>
      <w:lang w:val="en-US"/>
    </w:rPr>
  </w:style>
  <w:style w:type="paragraph" w:styleId="Subtitle">
    <w:name w:val="Subtitle"/>
    <w:aliases w:val="_T3 Subtitle"/>
    <w:basedOn w:val="Title"/>
    <w:next w:val="T4Spacer"/>
    <w:link w:val="SubtitleChar"/>
    <w:uiPriority w:val="11"/>
    <w:qFormat/>
    <w:rsid w:val="006C4025"/>
    <w:pPr>
      <w:numPr>
        <w:ilvl w:val="1"/>
      </w:numPr>
      <w:ind w:left="-992"/>
    </w:pPr>
    <w:rPr>
      <w:rFonts w:ascii="ABBvoice Light" w:hAnsi="ABBvoice Light"/>
      <w:b w:val="0"/>
      <w:iCs/>
      <w:szCs w:val="24"/>
    </w:rPr>
  </w:style>
  <w:style w:type="character" w:customStyle="1" w:styleId="SubtitleChar">
    <w:name w:val="Subtitle Char"/>
    <w:aliases w:val="_T3 Subtitle Char"/>
    <w:basedOn w:val="DefaultParagraphFont"/>
    <w:link w:val="Subtitle"/>
    <w:uiPriority w:val="11"/>
    <w:rsid w:val="00425639"/>
    <w:rPr>
      <w:rFonts w:ascii="ABBvoice Light" w:eastAsiaTheme="majorEastAsia" w:hAnsi="ABBvoice Light" w:cstheme="majorBidi"/>
      <w:iCs/>
      <w:kern w:val="12"/>
      <w:sz w:val="50"/>
      <w:szCs w:val="24"/>
      <w:lang w:val="en-US"/>
    </w:rPr>
  </w:style>
  <w:style w:type="paragraph" w:styleId="Closing">
    <w:name w:val="Closing"/>
    <w:basedOn w:val="Normal"/>
    <w:next w:val="Signature"/>
    <w:link w:val="ClosingChar"/>
    <w:uiPriority w:val="99"/>
    <w:semiHidden/>
    <w:rsid w:val="002C564B"/>
  </w:style>
  <w:style w:type="character" w:customStyle="1" w:styleId="ClosingChar">
    <w:name w:val="Closing Char"/>
    <w:basedOn w:val="DefaultParagraphFont"/>
    <w:link w:val="Closing"/>
    <w:uiPriority w:val="99"/>
    <w:semiHidden/>
    <w:rsid w:val="007F3F17"/>
    <w:rPr>
      <w:kern w:val="12"/>
      <w:lang w:val="en-US"/>
      <w14:numSpacing w14:val="tabular"/>
    </w:rPr>
  </w:style>
  <w:style w:type="paragraph" w:styleId="EnvelopeReturn">
    <w:name w:val="envelope return"/>
    <w:basedOn w:val="Normal"/>
    <w:next w:val="EnvelopeAddress"/>
    <w:uiPriority w:val="99"/>
    <w:semiHidden/>
    <w:rsid w:val="004F3B84"/>
    <w:pPr>
      <w:framePr w:w="4536" w:wrap="notBeside" w:vAnchor="page" w:hAnchor="margin" w:y="2836" w:anchorLock="1"/>
    </w:pPr>
    <w:rPr>
      <w:rFonts w:eastAsiaTheme="majorEastAsia" w:cstheme="majorBidi"/>
      <w:sz w:val="16"/>
    </w:rPr>
  </w:style>
  <w:style w:type="paragraph" w:styleId="EnvelopeAddress">
    <w:name w:val="envelope address"/>
    <w:basedOn w:val="Normal"/>
    <w:uiPriority w:val="99"/>
    <w:semiHidden/>
    <w:rsid w:val="00851D6F"/>
    <w:pPr>
      <w:framePr w:w="4536" w:h="1985" w:hRule="exact" w:wrap="notBeside" w:hAnchor="margin" w:yAlign="top" w:anchorLock="1"/>
    </w:pPr>
    <w:rPr>
      <w:rFonts w:eastAsiaTheme="majorEastAsia" w:cstheme="majorBidi"/>
      <w:szCs w:val="24"/>
    </w:rPr>
  </w:style>
  <w:style w:type="paragraph" w:styleId="Signature">
    <w:name w:val="Signature"/>
    <w:basedOn w:val="Normal"/>
    <w:next w:val="Normal"/>
    <w:link w:val="SignatureChar"/>
    <w:uiPriority w:val="99"/>
    <w:semiHidden/>
    <w:rsid w:val="001716A3"/>
  </w:style>
  <w:style w:type="character" w:customStyle="1" w:styleId="SignatureChar">
    <w:name w:val="Signature Char"/>
    <w:basedOn w:val="DefaultParagraphFont"/>
    <w:link w:val="Signature"/>
    <w:uiPriority w:val="99"/>
    <w:semiHidden/>
    <w:rsid w:val="007475B1"/>
    <w:rPr>
      <w:kern w:val="12"/>
      <w:lang w:val="en-US"/>
      <w14:numSpacing w14:val="tabular"/>
    </w:rPr>
  </w:style>
  <w:style w:type="paragraph" w:styleId="Header">
    <w:name w:val="header"/>
    <w:basedOn w:val="ABB-x-HeaderFooter"/>
    <w:link w:val="HeaderChar"/>
    <w:uiPriority w:val="48"/>
    <w:semiHidden/>
    <w:rsid w:val="00981245"/>
  </w:style>
  <w:style w:type="character" w:customStyle="1" w:styleId="HeaderChar">
    <w:name w:val="Header Char"/>
    <w:basedOn w:val="DefaultParagraphFont"/>
    <w:link w:val="Header"/>
    <w:uiPriority w:val="48"/>
    <w:semiHidden/>
    <w:rsid w:val="00981245"/>
    <w:rPr>
      <w:caps/>
      <w:spacing w:val="16"/>
      <w:kern w:val="12"/>
      <w:sz w:val="16"/>
      <w:lang w:val="en-US"/>
    </w:rPr>
  </w:style>
  <w:style w:type="paragraph" w:styleId="Footer">
    <w:name w:val="footer"/>
    <w:basedOn w:val="ABB-x-HeaderFooter"/>
    <w:link w:val="FooterChar"/>
    <w:uiPriority w:val="48"/>
    <w:semiHidden/>
    <w:rsid w:val="00D6251A"/>
    <w:pPr>
      <w:spacing w:line="240" w:lineRule="auto"/>
    </w:pPr>
    <w:rPr>
      <w:caps w:val="0"/>
      <w:spacing w:val="0"/>
    </w:rPr>
  </w:style>
  <w:style w:type="character" w:customStyle="1" w:styleId="FooterChar">
    <w:name w:val="Footer Char"/>
    <w:basedOn w:val="DefaultParagraphFont"/>
    <w:link w:val="Footer"/>
    <w:uiPriority w:val="48"/>
    <w:semiHidden/>
    <w:rsid w:val="00D97442"/>
    <w:rPr>
      <w:kern w:val="12"/>
      <w:sz w:val="16"/>
      <w:lang w:val="en-US"/>
    </w:rPr>
  </w:style>
  <w:style w:type="paragraph" w:customStyle="1" w:styleId="Informationsblock">
    <w:name w:val="Informationsblock"/>
    <w:basedOn w:val="ABB-x-HeaderFooter"/>
    <w:uiPriority w:val="99"/>
    <w:semiHidden/>
    <w:rsid w:val="00851D6F"/>
    <w:pPr>
      <w:framePr w:w="2552" w:wrap="around" w:hAnchor="page" w:x="9073" w:yAlign="top" w:anchorLock="1"/>
    </w:pPr>
  </w:style>
  <w:style w:type="paragraph" w:customStyle="1" w:styleId="Image">
    <w:name w:val="_Image"/>
    <w:basedOn w:val="ABB-x-Normal"/>
    <w:next w:val="Caption"/>
    <w:uiPriority w:val="9"/>
    <w:rsid w:val="00A3518E"/>
    <w:pPr>
      <w:keepNext/>
      <w:keepLines/>
      <w:spacing w:before="65" w:after="65"/>
    </w:pPr>
  </w:style>
  <w:style w:type="paragraph" w:customStyle="1" w:styleId="Betreff">
    <w:name w:val="Betreff"/>
    <w:basedOn w:val="Normal"/>
    <w:next w:val="Normal"/>
    <w:uiPriority w:val="99"/>
    <w:semiHidden/>
    <w:rsid w:val="00D17B0F"/>
    <w:pPr>
      <w:spacing w:after="280"/>
    </w:pPr>
    <w:rPr>
      <w:rFonts w:asciiTheme="majorHAnsi" w:hAnsiTheme="majorHAnsi"/>
    </w:rPr>
  </w:style>
  <w:style w:type="paragraph" w:styleId="Date">
    <w:name w:val="Date"/>
    <w:basedOn w:val="Normal"/>
    <w:next w:val="Betreff"/>
    <w:link w:val="DateChar"/>
    <w:uiPriority w:val="99"/>
    <w:semiHidden/>
    <w:rsid w:val="00DB2D8E"/>
  </w:style>
  <w:style w:type="character" w:customStyle="1" w:styleId="DateChar">
    <w:name w:val="Date Char"/>
    <w:basedOn w:val="DefaultParagraphFont"/>
    <w:link w:val="Date"/>
    <w:uiPriority w:val="99"/>
    <w:semiHidden/>
    <w:rsid w:val="007F3F17"/>
    <w:rPr>
      <w:kern w:val="12"/>
      <w:lang w:val="en-US"/>
      <w14:numSpacing w14:val="tabular"/>
    </w:rPr>
  </w:style>
  <w:style w:type="paragraph" w:customStyle="1" w:styleId="ABB-x-Heading">
    <w:name w:val="ABB-x-Heading"/>
    <w:basedOn w:val="ABB-x-Normal"/>
    <w:link w:val="ABB-x-HeadingChar"/>
    <w:uiPriority w:val="99"/>
    <w:semiHidden/>
    <w:rsid w:val="006C4025"/>
    <w:pPr>
      <w:keepNext/>
      <w:keepLines/>
      <w:suppressAutoHyphens/>
      <w:spacing w:before="260" w:after="130"/>
      <w:ind w:left="-992"/>
      <w:contextualSpacing/>
    </w:pPr>
    <w:rPr>
      <w:rFonts w:asciiTheme="majorHAnsi" w:hAnsiTheme="majorHAnsi"/>
      <w:b/>
    </w:rPr>
  </w:style>
  <w:style w:type="paragraph" w:customStyle="1" w:styleId="ABB-x-HeaderFooter">
    <w:name w:val="ABB-x-HeaderFooter"/>
    <w:basedOn w:val="ABB-x-NormalLight"/>
    <w:uiPriority w:val="99"/>
    <w:semiHidden/>
    <w:rsid w:val="006C4025"/>
    <w:pPr>
      <w:tabs>
        <w:tab w:val="right" w:pos="9356"/>
      </w:tabs>
      <w:suppressAutoHyphens/>
      <w:spacing w:line="220" w:lineRule="atLeast"/>
      <w:ind w:left="-992"/>
    </w:pPr>
    <w:rPr>
      <w:caps/>
      <w:spacing w:val="16"/>
      <w:sz w:val="16"/>
    </w:rPr>
  </w:style>
  <w:style w:type="paragraph" w:customStyle="1" w:styleId="Geschftsangaben">
    <w:name w:val="Geschäftsangaben"/>
    <w:basedOn w:val="ABB-x-HeaderFooter"/>
    <w:uiPriority w:val="99"/>
    <w:semiHidden/>
    <w:rsid w:val="00A200E2"/>
    <w:pPr>
      <w:framePr w:w="2552" w:wrap="around" w:hAnchor="page" w:x="9073" w:y="2881" w:anchorLock="1"/>
    </w:pPr>
  </w:style>
  <w:style w:type="paragraph" w:styleId="ListBullet">
    <w:name w:val="List Bullet"/>
    <w:basedOn w:val="Normal"/>
    <w:uiPriority w:val="29"/>
    <w:semiHidden/>
    <w:qFormat/>
    <w:rsid w:val="004F0DCD"/>
    <w:pPr>
      <w:contextualSpacing/>
    </w:pPr>
  </w:style>
  <w:style w:type="paragraph" w:customStyle="1" w:styleId="Autor">
    <w:name w:val="Autor"/>
    <w:basedOn w:val="Normal"/>
    <w:uiPriority w:val="99"/>
    <w:semiHidden/>
    <w:rsid w:val="006B1924"/>
  </w:style>
  <w:style w:type="character" w:styleId="HTMLCode">
    <w:name w:val="HTML Code"/>
    <w:aliases w:val="Code"/>
    <w:basedOn w:val="DefaultParagraphFont"/>
    <w:uiPriority w:val="99"/>
    <w:semiHidden/>
    <w:rsid w:val="0008259C"/>
    <w:rPr>
      <w:rFonts w:ascii="Courier New" w:hAnsi="Courier New"/>
      <w:sz w:val="20"/>
      <w:szCs w:val="20"/>
    </w:rPr>
  </w:style>
  <w:style w:type="paragraph" w:customStyle="1" w:styleId="TableCaption">
    <w:name w:val="_Table Caption"/>
    <w:basedOn w:val="ABB-x-Heading"/>
    <w:next w:val="Nospacing"/>
    <w:uiPriority w:val="10"/>
    <w:rsid w:val="009A28F3"/>
    <w:pPr>
      <w:spacing w:after="100"/>
      <w:ind w:left="0"/>
    </w:pPr>
    <w:rPr>
      <w:b w:val="0"/>
    </w:rPr>
  </w:style>
  <w:style w:type="character" w:customStyle="1" w:styleId="Heading4Char">
    <w:name w:val="Heading 4 Char"/>
    <w:aliases w:val="_Heading 4 Char"/>
    <w:basedOn w:val="DefaultParagraphFont"/>
    <w:link w:val="Heading4"/>
    <w:uiPriority w:val="2"/>
    <w:rsid w:val="00491B9C"/>
    <w:rPr>
      <w:rFonts w:asciiTheme="majorHAnsi" w:eastAsiaTheme="majorEastAsia" w:hAnsiTheme="majorHAnsi" w:cstheme="majorBidi"/>
      <w:b/>
      <w:bCs/>
      <w:iCs/>
      <w:kern w:val="12"/>
      <w:lang w:val="en-US"/>
    </w:rPr>
  </w:style>
  <w:style w:type="paragraph" w:styleId="BlockText">
    <w:name w:val="Block Text"/>
    <w:basedOn w:val="Normal"/>
    <w:uiPriority w:val="99"/>
    <w:semiHidden/>
    <w:rsid w:val="00773247"/>
    <w:pPr>
      <w:ind w:left="284" w:right="284"/>
    </w:pPr>
    <w:rPr>
      <w:rFonts w:eastAsiaTheme="minorEastAsia"/>
      <w:i/>
      <w:iCs/>
    </w:rPr>
  </w:style>
  <w:style w:type="paragraph" w:styleId="BalloonText">
    <w:name w:val="Balloon Text"/>
    <w:basedOn w:val="Normal"/>
    <w:link w:val="BalloonTextChar"/>
    <w:uiPriority w:val="99"/>
    <w:semiHidden/>
    <w:rsid w:val="00350B62"/>
    <w:rPr>
      <w:rFonts w:ascii="Tahoma" w:hAnsi="Tahoma" w:cs="Tahoma"/>
      <w:sz w:val="16"/>
      <w:szCs w:val="16"/>
    </w:rPr>
  </w:style>
  <w:style w:type="character" w:customStyle="1" w:styleId="BalloonTextChar">
    <w:name w:val="Balloon Text Char"/>
    <w:basedOn w:val="DefaultParagraphFont"/>
    <w:link w:val="BalloonText"/>
    <w:uiPriority w:val="99"/>
    <w:semiHidden/>
    <w:rsid w:val="00350B62"/>
    <w:rPr>
      <w:rFonts w:ascii="Tahoma" w:hAnsi="Tahoma" w:cs="Tahoma"/>
      <w:kern w:val="12"/>
      <w:sz w:val="16"/>
      <w:szCs w:val="16"/>
    </w:rPr>
  </w:style>
  <w:style w:type="paragraph" w:styleId="TOCHeading">
    <w:name w:val="TOC Heading"/>
    <w:basedOn w:val="ABB-x-Heading"/>
    <w:next w:val="Body"/>
    <w:uiPriority w:val="34"/>
    <w:qFormat/>
    <w:rsid w:val="005E7DA9"/>
    <w:pPr>
      <w:spacing w:before="480" w:line="240" w:lineRule="auto"/>
      <w:ind w:left="0"/>
    </w:pPr>
    <w:rPr>
      <w:sz w:val="40"/>
    </w:rPr>
  </w:style>
  <w:style w:type="paragraph" w:styleId="TOC1">
    <w:name w:val="toc 1"/>
    <w:basedOn w:val="ABB-x-Normal"/>
    <w:uiPriority w:val="39"/>
    <w:rsid w:val="005736C4"/>
    <w:pPr>
      <w:spacing w:before="130"/>
      <w:ind w:left="284" w:right="1134" w:hanging="284"/>
    </w:pPr>
    <w:rPr>
      <w:b/>
    </w:rPr>
  </w:style>
  <w:style w:type="paragraph" w:styleId="TOC2">
    <w:name w:val="toc 2"/>
    <w:basedOn w:val="TOC1"/>
    <w:uiPriority w:val="39"/>
    <w:rsid w:val="00475F0A"/>
    <w:pPr>
      <w:spacing w:before="0"/>
      <w:ind w:left="851" w:hanging="567"/>
    </w:pPr>
    <w:rPr>
      <w:b w:val="0"/>
    </w:rPr>
  </w:style>
  <w:style w:type="paragraph" w:styleId="TOC3">
    <w:name w:val="toc 3"/>
    <w:basedOn w:val="TOC2"/>
    <w:uiPriority w:val="39"/>
    <w:rsid w:val="00475F0A"/>
    <w:pPr>
      <w:ind w:left="1702" w:hanging="851"/>
    </w:pPr>
  </w:style>
  <w:style w:type="paragraph" w:styleId="TOC4">
    <w:name w:val="toc 4"/>
    <w:basedOn w:val="TOC3"/>
    <w:next w:val="Normal"/>
    <w:uiPriority w:val="44"/>
    <w:semiHidden/>
    <w:rsid w:val="002E7AE9"/>
    <w:pPr>
      <w:ind w:left="600"/>
    </w:pPr>
  </w:style>
  <w:style w:type="paragraph" w:styleId="TOC5">
    <w:name w:val="toc 5"/>
    <w:basedOn w:val="TOC4"/>
    <w:next w:val="Normal"/>
    <w:uiPriority w:val="44"/>
    <w:semiHidden/>
    <w:rsid w:val="002E7AE9"/>
    <w:pPr>
      <w:ind w:left="800"/>
    </w:pPr>
  </w:style>
  <w:style w:type="paragraph" w:styleId="TOC6">
    <w:name w:val="toc 6"/>
    <w:basedOn w:val="TOC5"/>
    <w:next w:val="Normal"/>
    <w:uiPriority w:val="44"/>
    <w:semiHidden/>
    <w:rsid w:val="002E7AE9"/>
    <w:pPr>
      <w:ind w:left="1000"/>
    </w:pPr>
  </w:style>
  <w:style w:type="paragraph" w:styleId="TOC7">
    <w:name w:val="toc 7"/>
    <w:basedOn w:val="TOC6"/>
    <w:next w:val="Normal"/>
    <w:uiPriority w:val="44"/>
    <w:semiHidden/>
    <w:rsid w:val="002E7AE9"/>
    <w:pPr>
      <w:ind w:left="1200"/>
    </w:pPr>
  </w:style>
  <w:style w:type="paragraph" w:styleId="TOC8">
    <w:name w:val="toc 8"/>
    <w:basedOn w:val="TOC7"/>
    <w:next w:val="Normal"/>
    <w:uiPriority w:val="44"/>
    <w:semiHidden/>
    <w:rsid w:val="002E7AE9"/>
    <w:pPr>
      <w:ind w:left="1400"/>
    </w:pPr>
  </w:style>
  <w:style w:type="paragraph" w:styleId="TOC9">
    <w:name w:val="toc 9"/>
    <w:basedOn w:val="TOC8"/>
    <w:next w:val="Normal"/>
    <w:uiPriority w:val="44"/>
    <w:semiHidden/>
    <w:rsid w:val="002E7AE9"/>
    <w:pPr>
      <w:ind w:left="1600"/>
    </w:pPr>
  </w:style>
  <w:style w:type="character" w:customStyle="1" w:styleId="Heading5Char">
    <w:name w:val="Heading 5 Char"/>
    <w:aliases w:val="_Heading 5 Char"/>
    <w:basedOn w:val="DefaultParagraphFont"/>
    <w:link w:val="Heading5"/>
    <w:uiPriority w:val="2"/>
    <w:rsid w:val="00491B9C"/>
    <w:rPr>
      <w:rFonts w:asciiTheme="majorHAnsi" w:eastAsiaTheme="majorEastAsia" w:hAnsiTheme="majorHAnsi" w:cstheme="majorBidi"/>
      <w:b/>
      <w:kern w:val="12"/>
      <w:lang w:val="en-US"/>
    </w:rPr>
  </w:style>
  <w:style w:type="character" w:customStyle="1" w:styleId="Heading6Char">
    <w:name w:val="Heading 6 Char"/>
    <w:basedOn w:val="DefaultParagraphFont"/>
    <w:link w:val="Heading6"/>
    <w:uiPriority w:val="40"/>
    <w:semiHidden/>
    <w:rsid w:val="008F6D84"/>
    <w:rPr>
      <w:rFonts w:asciiTheme="majorHAnsi" w:eastAsiaTheme="majorEastAsia" w:hAnsiTheme="majorHAnsi" w:cstheme="majorBidi"/>
      <w:b/>
      <w:iCs/>
      <w:kern w:val="12"/>
      <w:lang w:val="en-US"/>
    </w:rPr>
  </w:style>
  <w:style w:type="character" w:customStyle="1" w:styleId="Heading7Char">
    <w:name w:val="Heading 7 Char"/>
    <w:basedOn w:val="DefaultParagraphFont"/>
    <w:link w:val="Heading7"/>
    <w:uiPriority w:val="40"/>
    <w:semiHidden/>
    <w:rsid w:val="008F6D84"/>
    <w:rPr>
      <w:rFonts w:asciiTheme="majorHAnsi" w:eastAsiaTheme="majorEastAsia" w:hAnsiTheme="majorHAnsi" w:cstheme="majorBidi"/>
      <w:b/>
      <w:iCs/>
      <w:kern w:val="12"/>
      <w:lang w:val="en-US"/>
    </w:rPr>
  </w:style>
  <w:style w:type="character" w:customStyle="1" w:styleId="Heading8Char">
    <w:name w:val="Heading 8 Char"/>
    <w:basedOn w:val="DefaultParagraphFont"/>
    <w:link w:val="Heading8"/>
    <w:uiPriority w:val="40"/>
    <w:semiHidden/>
    <w:rsid w:val="008F6D84"/>
    <w:rPr>
      <w:rFonts w:asciiTheme="majorHAnsi" w:eastAsiaTheme="majorEastAsia" w:hAnsiTheme="majorHAnsi" w:cstheme="majorBidi"/>
      <w:b/>
      <w:kern w:val="12"/>
      <w:lang w:val="en-US"/>
    </w:rPr>
  </w:style>
  <w:style w:type="character" w:customStyle="1" w:styleId="Heading9Char">
    <w:name w:val="Heading 9 Char"/>
    <w:basedOn w:val="DefaultParagraphFont"/>
    <w:link w:val="Heading9"/>
    <w:uiPriority w:val="40"/>
    <w:semiHidden/>
    <w:rsid w:val="008F6D84"/>
    <w:rPr>
      <w:rFonts w:asciiTheme="majorHAnsi" w:eastAsiaTheme="majorEastAsia" w:hAnsiTheme="majorHAnsi" w:cstheme="majorBidi"/>
      <w:b/>
      <w:iCs/>
      <w:kern w:val="12"/>
      <w:lang w:val="en-US"/>
    </w:rPr>
  </w:style>
  <w:style w:type="paragraph" w:styleId="NoSpacing0">
    <w:name w:val="No Spacing"/>
    <w:basedOn w:val="Normal"/>
    <w:uiPriority w:val="99"/>
    <w:rsid w:val="00D277AE"/>
  </w:style>
  <w:style w:type="paragraph" w:customStyle="1" w:styleId="zzLetterheadSpacer">
    <w:name w:val="zz_LetterheadSpacer"/>
    <w:basedOn w:val="ABB-x-HeaderFooter"/>
    <w:uiPriority w:val="99"/>
    <w:semiHidden/>
    <w:rsid w:val="00A200E2"/>
    <w:pPr>
      <w:framePr w:w="7088" w:h="2880" w:hRule="exact" w:wrap="notBeside" w:hAnchor="margin" w:yAlign="top" w:anchorLock="1"/>
    </w:pPr>
  </w:style>
  <w:style w:type="paragraph" w:styleId="TableofFigures">
    <w:name w:val="table of figures"/>
    <w:basedOn w:val="ABB-x-Normal"/>
    <w:uiPriority w:val="99"/>
    <w:semiHidden/>
    <w:rsid w:val="007458B0"/>
  </w:style>
  <w:style w:type="paragraph" w:customStyle="1" w:styleId="Bullet1">
    <w:name w:val="_Bullet 1"/>
    <w:basedOn w:val="Body"/>
    <w:autoRedefine/>
    <w:uiPriority w:val="4"/>
    <w:qFormat/>
    <w:rsid w:val="0080592E"/>
    <w:pPr>
      <w:ind w:left="360" w:hanging="360"/>
    </w:pPr>
    <w:rPr>
      <w:bCs/>
      <w:sz w:val="22"/>
      <w:szCs w:val="22"/>
    </w:rPr>
  </w:style>
  <w:style w:type="paragraph" w:styleId="FootnoteText">
    <w:name w:val="footnote text"/>
    <w:basedOn w:val="ABB-x-Normal"/>
    <w:link w:val="FootnoteTextChar"/>
    <w:uiPriority w:val="99"/>
    <w:semiHidden/>
    <w:rsid w:val="00E561C3"/>
    <w:pPr>
      <w:suppressAutoHyphens/>
      <w:spacing w:before="110" w:line="220" w:lineRule="atLeast"/>
    </w:pPr>
    <w:rPr>
      <w:sz w:val="16"/>
    </w:rPr>
  </w:style>
  <w:style w:type="character" w:customStyle="1" w:styleId="FootnoteTextChar">
    <w:name w:val="Footnote Text Char"/>
    <w:basedOn w:val="DefaultParagraphFont"/>
    <w:link w:val="FootnoteText"/>
    <w:uiPriority w:val="99"/>
    <w:semiHidden/>
    <w:rsid w:val="00AD5190"/>
    <w:rPr>
      <w:kern w:val="12"/>
      <w:sz w:val="16"/>
      <w:lang w:val="en-US"/>
    </w:rPr>
  </w:style>
  <w:style w:type="character" w:styleId="FootnoteReference">
    <w:name w:val="footnote reference"/>
    <w:basedOn w:val="DefaultParagraphFont"/>
    <w:uiPriority w:val="99"/>
    <w:semiHidden/>
    <w:rsid w:val="00660EBD"/>
    <w:rPr>
      <w:vertAlign w:val="superscript"/>
    </w:rPr>
  </w:style>
  <w:style w:type="paragraph" w:customStyle="1" w:styleId="FootnoteSeparator">
    <w:name w:val="Footnote Separator"/>
    <w:basedOn w:val="ABB-x-Normal"/>
    <w:uiPriority w:val="99"/>
    <w:semiHidden/>
    <w:rsid w:val="0080599D"/>
    <w:pPr>
      <w:pBdr>
        <w:bottom w:val="single" w:sz="6" w:space="1" w:color="auto"/>
      </w:pBdr>
      <w:suppressAutoHyphens/>
      <w:spacing w:before="390"/>
      <w:ind w:left="28" w:right="9185"/>
    </w:pPr>
  </w:style>
  <w:style w:type="paragraph" w:customStyle="1" w:styleId="FootnoteSeparatorcont">
    <w:name w:val="Footnote Separator (cont.)"/>
    <w:basedOn w:val="FootnoteSeparator"/>
    <w:uiPriority w:val="99"/>
    <w:semiHidden/>
    <w:rsid w:val="004A0BF3"/>
    <w:rPr>
      <w:lang w:val="de-DE"/>
    </w:rPr>
  </w:style>
  <w:style w:type="paragraph" w:customStyle="1" w:styleId="FootnoteContinuation">
    <w:name w:val="Footnote Continuation"/>
    <w:basedOn w:val="ABB-x-Normal"/>
    <w:uiPriority w:val="99"/>
    <w:semiHidden/>
    <w:rsid w:val="00660EBD"/>
    <w:pPr>
      <w:suppressAutoHyphens/>
    </w:pPr>
    <w:rPr>
      <w:sz w:val="16"/>
    </w:rPr>
  </w:style>
  <w:style w:type="paragraph" w:styleId="EndnoteText">
    <w:name w:val="endnote text"/>
    <w:basedOn w:val="ABB-x-Normal"/>
    <w:link w:val="EndnoteTextChar"/>
    <w:uiPriority w:val="99"/>
    <w:semiHidden/>
    <w:rsid w:val="00660EBD"/>
    <w:pPr>
      <w:suppressAutoHyphens/>
      <w:spacing w:before="100"/>
    </w:pPr>
    <w:rPr>
      <w:sz w:val="16"/>
    </w:rPr>
  </w:style>
  <w:style w:type="character" w:customStyle="1" w:styleId="EndnoteTextChar">
    <w:name w:val="Endnote Text Char"/>
    <w:basedOn w:val="DefaultParagraphFont"/>
    <w:link w:val="EndnoteText"/>
    <w:uiPriority w:val="99"/>
    <w:semiHidden/>
    <w:rsid w:val="00AD5190"/>
    <w:rPr>
      <w:kern w:val="12"/>
      <w:sz w:val="16"/>
      <w:lang w:val="en-US"/>
    </w:rPr>
  </w:style>
  <w:style w:type="character" w:styleId="EndnoteReference">
    <w:name w:val="endnote reference"/>
    <w:basedOn w:val="DefaultParagraphFont"/>
    <w:uiPriority w:val="99"/>
    <w:semiHidden/>
    <w:rsid w:val="00660EBD"/>
    <w:rPr>
      <w:vertAlign w:val="superscript"/>
    </w:rPr>
  </w:style>
  <w:style w:type="paragraph" w:customStyle="1" w:styleId="EndnoteSeparator">
    <w:name w:val="Endnote Separator"/>
    <w:basedOn w:val="FootnoteSeparator"/>
    <w:uiPriority w:val="99"/>
    <w:semiHidden/>
    <w:rsid w:val="004A0BF3"/>
    <w:rPr>
      <w:lang w:val="de-DE"/>
    </w:rPr>
  </w:style>
  <w:style w:type="paragraph" w:customStyle="1" w:styleId="EndnoteSeparatorcont">
    <w:name w:val="Endnote Separator (cont.)"/>
    <w:basedOn w:val="FootnoteSeparatorcont"/>
    <w:uiPriority w:val="99"/>
    <w:semiHidden/>
    <w:rsid w:val="00660EBD"/>
  </w:style>
  <w:style w:type="paragraph" w:customStyle="1" w:styleId="EndnoteContinuation">
    <w:name w:val="Endnote Continuation"/>
    <w:basedOn w:val="FootnoteContinuation"/>
    <w:uiPriority w:val="99"/>
    <w:semiHidden/>
    <w:rsid w:val="004A0BF3"/>
    <w:rPr>
      <w:lang w:val="de-DE"/>
    </w:rPr>
  </w:style>
  <w:style w:type="paragraph" w:styleId="NoteHeading">
    <w:name w:val="Note Heading"/>
    <w:basedOn w:val="Normal"/>
    <w:next w:val="Normal"/>
    <w:link w:val="NoteHeadingChar"/>
    <w:uiPriority w:val="99"/>
    <w:semiHidden/>
    <w:rsid w:val="00660EBD"/>
    <w:pPr>
      <w:suppressAutoHyphens/>
      <w:spacing w:before="130" w:after="130" w:line="271" w:lineRule="auto"/>
    </w:pPr>
  </w:style>
  <w:style w:type="character" w:customStyle="1" w:styleId="NoteHeadingChar">
    <w:name w:val="Note Heading Char"/>
    <w:basedOn w:val="DefaultParagraphFont"/>
    <w:link w:val="NoteHeading"/>
    <w:uiPriority w:val="99"/>
    <w:semiHidden/>
    <w:rsid w:val="00052F24"/>
    <w:rPr>
      <w:kern w:val="12"/>
    </w:rPr>
  </w:style>
  <w:style w:type="table" w:styleId="TableGrid">
    <w:name w:val="Table Grid"/>
    <w:aliases w:val="Layout Table"/>
    <w:basedOn w:val="TableNormal"/>
    <w:uiPriority w:val="59"/>
    <w:rsid w:val="001907E2"/>
    <w:pPr>
      <w:keepLines/>
    </w:pPr>
    <w:rPr>
      <w:kern w:val="12"/>
      <w:szCs w:val="22"/>
      <w:lang w:val="en-US"/>
    </w:rPr>
    <w:tblPr>
      <w:tblCellMar>
        <w:left w:w="0" w:type="dxa"/>
        <w:right w:w="0" w:type="dxa"/>
      </w:tblCellMar>
    </w:tblPr>
    <w:tblStylePr w:type="firstCol">
      <w:pPr>
        <w:wordWrap/>
        <w:ind w:leftChars="0" w:left="0"/>
      </w:pPr>
    </w:tblStylePr>
  </w:style>
  <w:style w:type="paragraph" w:customStyle="1" w:styleId="TableText">
    <w:name w:val="_Table Text"/>
    <w:basedOn w:val="Body"/>
    <w:uiPriority w:val="10"/>
    <w:rsid w:val="008A5C1D"/>
    <w:pPr>
      <w:spacing w:after="0"/>
    </w:pPr>
    <w:rPr>
      <w:szCs w:val="22"/>
    </w:rPr>
  </w:style>
  <w:style w:type="paragraph" w:customStyle="1" w:styleId="TableTextsmall">
    <w:name w:val="_Table Text small"/>
    <w:basedOn w:val="Bodysmall"/>
    <w:uiPriority w:val="10"/>
    <w:rsid w:val="00CC0354"/>
    <w:pPr>
      <w:spacing w:after="0"/>
    </w:pPr>
  </w:style>
  <w:style w:type="table" w:customStyle="1" w:styleId="ABBTableStyle">
    <w:name w:val="ABB Table Style"/>
    <w:basedOn w:val="TableNormal"/>
    <w:uiPriority w:val="99"/>
    <w:rsid w:val="002810DD"/>
    <w:pPr>
      <w:keepLines/>
      <w:ind w:right="170"/>
    </w:pPr>
    <w:tblPr>
      <w:tblBorders>
        <w:top w:val="single" w:sz="18" w:space="0" w:color="auto"/>
        <w:bottom w:val="single" w:sz="8" w:space="0" w:color="auto"/>
        <w:insideH w:val="single" w:sz="4" w:space="0" w:color="A9A9A9" w:themeColor="accent3"/>
      </w:tblBorders>
      <w:tblCellMar>
        <w:top w:w="17" w:type="dxa"/>
        <w:left w:w="0" w:type="dxa"/>
        <w:bottom w:w="40" w:type="dxa"/>
        <w:right w:w="0" w:type="dxa"/>
      </w:tblCellMar>
    </w:tblPr>
    <w:trPr>
      <w:cantSplit/>
    </w:trPr>
    <w:tblStylePr w:type="firstRow">
      <w:rPr>
        <w:rFonts w:asciiTheme="minorHAnsi" w:hAnsiTheme="minorHAnsi"/>
        <w:b/>
        <w:i w:val="0"/>
        <w:color w:val="auto"/>
        <w:sz w:val="19"/>
      </w:rPr>
      <w:tblPr/>
      <w:tcPr>
        <w:tcBorders>
          <w:top w:val="single" w:sz="18" w:space="0" w:color="auto"/>
          <w:left w:val="nil"/>
          <w:bottom w:val="single" w:sz="8" w:space="0" w:color="auto"/>
          <w:right w:val="nil"/>
          <w:insideH w:val="nil"/>
          <w:insideV w:val="nil"/>
          <w:tl2br w:val="nil"/>
          <w:tr2bl w:val="nil"/>
        </w:tcBorders>
      </w:tcPr>
    </w:tblStylePr>
    <w:tblStylePr w:type="lastRow">
      <w:rPr>
        <w:rFonts w:asciiTheme="minorHAnsi" w:hAnsiTheme="minorHAnsi"/>
        <w:b w:val="0"/>
        <w:i w:val="0"/>
        <w:sz w:val="19"/>
      </w:rPr>
      <w:tblPr/>
      <w:tcPr>
        <w:tcBorders>
          <w:top w:val="single" w:sz="2" w:space="0" w:color="auto"/>
        </w:tcBorders>
      </w:tcPr>
    </w:tblStylePr>
    <w:tblStylePr w:type="firstCol">
      <w:rPr>
        <w:rFonts w:asciiTheme="minorHAnsi" w:hAnsiTheme="minorHAnsi"/>
        <w:b w:val="0"/>
        <w:i w:val="0"/>
        <w:sz w:val="19"/>
      </w:rPr>
    </w:tblStylePr>
    <w:tblStylePr w:type="lastCol">
      <w:pPr>
        <w:wordWrap/>
        <w:ind w:rightChars="0" w:right="0"/>
        <w:jc w:val="right"/>
      </w:pPr>
    </w:tblStylePr>
  </w:style>
  <w:style w:type="paragraph" w:customStyle="1" w:styleId="Bodysmall">
    <w:name w:val="_Body small"/>
    <w:basedOn w:val="Body"/>
    <w:qFormat/>
    <w:rsid w:val="001A765C"/>
    <w:pPr>
      <w:spacing w:line="220" w:lineRule="atLeast"/>
    </w:pPr>
    <w:rPr>
      <w:sz w:val="16"/>
    </w:rPr>
  </w:style>
  <w:style w:type="paragraph" w:customStyle="1" w:styleId="HorizontalRule">
    <w:name w:val="Horizontal Rule"/>
    <w:basedOn w:val="Normal"/>
    <w:uiPriority w:val="29"/>
    <w:semiHidden/>
    <w:qFormat/>
    <w:rsid w:val="001907E2"/>
    <w:pPr>
      <w:pBdr>
        <w:top w:val="single" w:sz="4" w:space="0" w:color="auto"/>
      </w:pBdr>
      <w:spacing w:before="240" w:after="150" w:line="60" w:lineRule="exact"/>
    </w:pPr>
  </w:style>
  <w:style w:type="paragraph" w:customStyle="1" w:styleId="Tabular">
    <w:name w:val="_Tabular"/>
    <w:basedOn w:val="Body"/>
    <w:uiPriority w:val="29"/>
    <w:rsid w:val="00FA0513"/>
    <w:pPr>
      <w:keepLines/>
      <w:spacing w:after="0"/>
      <w:ind w:left="2268" w:hanging="2268"/>
      <w:contextualSpacing/>
    </w:pPr>
  </w:style>
  <w:style w:type="paragraph" w:customStyle="1" w:styleId="Tabularspaced">
    <w:name w:val="_Tabular spaced"/>
    <w:basedOn w:val="Tabular"/>
    <w:uiPriority w:val="29"/>
    <w:rsid w:val="00FA0513"/>
    <w:pPr>
      <w:spacing w:after="130"/>
      <w:contextualSpacing w:val="0"/>
    </w:pPr>
  </w:style>
  <w:style w:type="paragraph" w:customStyle="1" w:styleId="Bullet2">
    <w:name w:val="_Bullet 2"/>
    <w:basedOn w:val="Bullet1"/>
    <w:autoRedefine/>
    <w:uiPriority w:val="4"/>
    <w:qFormat/>
    <w:rsid w:val="00245537"/>
    <w:pPr>
      <w:numPr>
        <w:numId w:val="29"/>
      </w:numPr>
      <w:contextualSpacing/>
    </w:pPr>
  </w:style>
  <w:style w:type="paragraph" w:customStyle="1" w:styleId="T1Categorytitle">
    <w:name w:val="_T1 Category title"/>
    <w:basedOn w:val="ABB-x-Heading"/>
    <w:next w:val="Title"/>
    <w:uiPriority w:val="11"/>
    <w:qFormat/>
    <w:rsid w:val="006C4025"/>
    <w:pPr>
      <w:spacing w:before="0" w:after="80"/>
    </w:pPr>
    <w:rPr>
      <w:b w:val="0"/>
      <w:caps/>
      <w:spacing w:val="20"/>
      <w:sz w:val="20"/>
    </w:rPr>
  </w:style>
  <w:style w:type="paragraph" w:customStyle="1" w:styleId="Indented3">
    <w:name w:val="_Indented3"/>
    <w:basedOn w:val="Indented2"/>
    <w:autoRedefine/>
    <w:uiPriority w:val="6"/>
    <w:qFormat/>
    <w:rsid w:val="004E579F"/>
    <w:pPr>
      <w:ind w:left="1086"/>
    </w:pPr>
  </w:style>
  <w:style w:type="paragraph" w:customStyle="1" w:styleId="T4Spacer">
    <w:name w:val="_T4 Spacer"/>
    <w:basedOn w:val="ABB-x-Normal"/>
    <w:next w:val="Body"/>
    <w:uiPriority w:val="11"/>
    <w:qFormat/>
    <w:rsid w:val="00E9052C"/>
    <w:pPr>
      <w:spacing w:after="600"/>
    </w:pPr>
  </w:style>
  <w:style w:type="paragraph" w:customStyle="1" w:styleId="Lead">
    <w:name w:val="_Lead"/>
    <w:basedOn w:val="ABB-x-NormalLight"/>
    <w:next w:val="T4Spacer"/>
    <w:uiPriority w:val="12"/>
    <w:qFormat/>
    <w:rsid w:val="00E9052C"/>
    <w:pPr>
      <w:spacing w:before="260" w:after="260" w:line="360" w:lineRule="atLeast"/>
      <w:ind w:left="-994"/>
      <w:contextualSpacing/>
    </w:pPr>
    <w:rPr>
      <w:sz w:val="26"/>
    </w:rPr>
  </w:style>
  <w:style w:type="paragraph" w:customStyle="1" w:styleId="ABB-x-Normal">
    <w:name w:val="ABB-x-Normal"/>
    <w:link w:val="ABB-x-NormalChar"/>
    <w:uiPriority w:val="99"/>
    <w:semiHidden/>
    <w:rsid w:val="00CA7B6F"/>
    <w:rPr>
      <w:kern w:val="12"/>
      <w:lang w:val="en-US"/>
    </w:rPr>
  </w:style>
  <w:style w:type="paragraph" w:customStyle="1" w:styleId="ABB-x-NormalLight">
    <w:name w:val="ABB-x-NormalLight"/>
    <w:basedOn w:val="ABB-x-Normal"/>
    <w:uiPriority w:val="99"/>
    <w:semiHidden/>
    <w:rsid w:val="004B7208"/>
  </w:style>
  <w:style w:type="paragraph" w:customStyle="1" w:styleId="T0Cursor">
    <w:name w:val="_T0 Cursor"/>
    <w:basedOn w:val="Title"/>
    <w:next w:val="T1Categorytitle"/>
    <w:autoRedefine/>
    <w:uiPriority w:val="11"/>
    <w:qFormat/>
    <w:rsid w:val="00243BFD"/>
    <w:pPr>
      <w:numPr>
        <w:numId w:val="17"/>
      </w:numPr>
      <w:ind w:left="-992" w:firstLine="0"/>
    </w:pPr>
    <w:rPr>
      <w:color w:val="FF000F" w:themeColor="background2"/>
      <w:sz w:val="40"/>
    </w:rPr>
  </w:style>
  <w:style w:type="table" w:styleId="TableGridLight">
    <w:name w:val="Grid Table Light"/>
    <w:basedOn w:val="TableNormal"/>
    <w:uiPriority w:val="40"/>
    <w:rsid w:val="00A37EB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BB-x-NormalChar">
    <w:name w:val="ABB-x-Normal Char"/>
    <w:basedOn w:val="DefaultParagraphFont"/>
    <w:link w:val="ABB-x-Normal"/>
    <w:uiPriority w:val="99"/>
    <w:semiHidden/>
    <w:rsid w:val="00AD5190"/>
    <w:rPr>
      <w:kern w:val="12"/>
      <w:lang w:val="en-US"/>
    </w:rPr>
  </w:style>
  <w:style w:type="paragraph" w:customStyle="1" w:styleId="Figure">
    <w:name w:val="_Figure"/>
    <w:basedOn w:val="Image"/>
    <w:next w:val="Caption"/>
    <w:uiPriority w:val="9"/>
    <w:qFormat/>
    <w:rsid w:val="00735C8C"/>
    <w:pPr>
      <w:spacing w:before="300" w:after="130"/>
      <w:jc w:val="center"/>
    </w:pPr>
  </w:style>
  <w:style w:type="character" w:styleId="PlaceholderText">
    <w:name w:val="Placeholder Text"/>
    <w:basedOn w:val="DefaultParagraphFont"/>
    <w:uiPriority w:val="99"/>
    <w:semiHidden/>
    <w:rsid w:val="00AC771B"/>
    <w:rPr>
      <w:color w:val="808080"/>
    </w:rPr>
  </w:style>
  <w:style w:type="paragraph" w:customStyle="1" w:styleId="Subheading">
    <w:name w:val="_Subheading"/>
    <w:basedOn w:val="ABB-x-Heading"/>
    <w:next w:val="Body"/>
    <w:uiPriority w:val="3"/>
    <w:qFormat/>
    <w:rsid w:val="005736C4"/>
    <w:pPr>
      <w:spacing w:before="130" w:after="0"/>
      <w:ind w:left="0"/>
    </w:pPr>
  </w:style>
  <w:style w:type="paragraph" w:customStyle="1" w:styleId="ABBCursor">
    <w:name w:val="_ABB Cursor"/>
    <w:basedOn w:val="ABB-x-Heading"/>
    <w:next w:val="Body"/>
    <w:autoRedefine/>
    <w:uiPriority w:val="11"/>
    <w:qFormat/>
    <w:rsid w:val="001474D7"/>
    <w:pPr>
      <w:spacing w:after="0"/>
      <w:ind w:left="-993"/>
    </w:pPr>
    <w:rPr>
      <w:b w:val="0"/>
      <w:sz w:val="40"/>
      <w:lang w:val="en-GB"/>
    </w:rPr>
  </w:style>
  <w:style w:type="paragraph" w:customStyle="1" w:styleId="FigCaptioncentered">
    <w:name w:val="_Fig Caption centered"/>
    <w:basedOn w:val="Caption"/>
    <w:next w:val="Body"/>
    <w:uiPriority w:val="7"/>
    <w:semiHidden/>
    <w:qFormat/>
    <w:rsid w:val="005C2861"/>
  </w:style>
  <w:style w:type="paragraph" w:customStyle="1" w:styleId="Figurecentered">
    <w:name w:val="_Figure centered"/>
    <w:basedOn w:val="Figure"/>
    <w:next w:val="FigCaptioncentered"/>
    <w:uiPriority w:val="6"/>
    <w:semiHidden/>
    <w:qFormat/>
    <w:rsid w:val="005C2861"/>
  </w:style>
  <w:style w:type="paragraph" w:customStyle="1" w:styleId="TableCaptioncentered">
    <w:name w:val="_Table Caption centered"/>
    <w:basedOn w:val="TableCaption"/>
    <w:next w:val="Nospacing"/>
    <w:uiPriority w:val="29"/>
    <w:semiHidden/>
    <w:qFormat/>
    <w:rsid w:val="00B528EA"/>
    <w:pPr>
      <w:jc w:val="center"/>
    </w:pPr>
  </w:style>
  <w:style w:type="character" w:customStyle="1" w:styleId="Bold">
    <w:name w:val="_Bold"/>
    <w:basedOn w:val="DefaultParagraphFont"/>
    <w:qFormat/>
    <w:rsid w:val="004C28E2"/>
    <w:rPr>
      <w:rFonts w:asciiTheme="minorHAnsi" w:hAnsiTheme="minorHAnsi"/>
      <w:b/>
    </w:rPr>
  </w:style>
  <w:style w:type="character" w:customStyle="1" w:styleId="Boldred">
    <w:name w:val="_Bold red"/>
    <w:basedOn w:val="Bold"/>
    <w:qFormat/>
    <w:rsid w:val="00061BF1"/>
    <w:rPr>
      <w:rFonts w:asciiTheme="minorHAnsi" w:hAnsiTheme="minorHAnsi"/>
      <w:b/>
      <w:color w:val="FF000F" w:themeColor="background2"/>
    </w:rPr>
  </w:style>
  <w:style w:type="paragraph" w:customStyle="1" w:styleId="Bullet3">
    <w:name w:val="_Bullet 3"/>
    <w:basedOn w:val="Bullet2"/>
    <w:autoRedefine/>
    <w:uiPriority w:val="4"/>
    <w:qFormat/>
    <w:rsid w:val="00245537"/>
    <w:pPr>
      <w:numPr>
        <w:numId w:val="27"/>
      </w:numPr>
      <w:ind w:left="1086"/>
    </w:pPr>
  </w:style>
  <w:style w:type="paragraph" w:customStyle="1" w:styleId="Num1">
    <w:name w:val="_Num 1"/>
    <w:basedOn w:val="Body"/>
    <w:autoRedefine/>
    <w:uiPriority w:val="4"/>
    <w:qFormat/>
    <w:rsid w:val="00590859"/>
    <w:pPr>
      <w:numPr>
        <w:numId w:val="6"/>
      </w:numPr>
    </w:pPr>
  </w:style>
  <w:style w:type="paragraph" w:customStyle="1" w:styleId="Num2">
    <w:name w:val="_Num 2"/>
    <w:basedOn w:val="Num1"/>
    <w:autoRedefine/>
    <w:uiPriority w:val="4"/>
    <w:qFormat/>
    <w:rsid w:val="006E0D3E"/>
    <w:pPr>
      <w:numPr>
        <w:numId w:val="33"/>
      </w:numPr>
      <w:ind w:left="724"/>
      <w:contextualSpacing/>
    </w:pPr>
  </w:style>
  <w:style w:type="paragraph" w:customStyle="1" w:styleId="Num3">
    <w:name w:val="_Num 3"/>
    <w:basedOn w:val="Num2"/>
    <w:autoRedefine/>
    <w:uiPriority w:val="4"/>
    <w:qFormat/>
    <w:rsid w:val="006E0D3E"/>
    <w:pPr>
      <w:numPr>
        <w:numId w:val="32"/>
      </w:numPr>
      <w:ind w:left="1267"/>
    </w:pPr>
  </w:style>
  <w:style w:type="paragraph" w:customStyle="1" w:styleId="Indented">
    <w:name w:val="_Indented"/>
    <w:basedOn w:val="Body"/>
    <w:uiPriority w:val="6"/>
    <w:qFormat/>
    <w:rsid w:val="00C05684"/>
    <w:pPr>
      <w:ind w:left="362"/>
    </w:pPr>
    <w:rPr>
      <w:lang w:val="en-GB"/>
    </w:rPr>
  </w:style>
  <w:style w:type="paragraph" w:customStyle="1" w:styleId="Body">
    <w:name w:val="_Body"/>
    <w:basedOn w:val="ABB-x-Normal"/>
    <w:qFormat/>
    <w:rsid w:val="0026226A"/>
    <w:pPr>
      <w:spacing w:after="130"/>
    </w:pPr>
    <w:rPr>
      <w:rFonts w:ascii="Arial" w:hAnsi="Arial"/>
      <w:sz w:val="18"/>
    </w:rPr>
  </w:style>
  <w:style w:type="paragraph" w:customStyle="1" w:styleId="Nospacing">
    <w:name w:val="_No spacing"/>
    <w:basedOn w:val="Body"/>
    <w:qFormat/>
    <w:rsid w:val="0026226A"/>
    <w:pPr>
      <w:spacing w:after="0"/>
    </w:pPr>
  </w:style>
  <w:style w:type="numbering" w:customStyle="1" w:styleId="ABBHeadings">
    <w:name w:val="ABB Headings"/>
    <w:uiPriority w:val="99"/>
    <w:rsid w:val="006C4025"/>
    <w:pPr>
      <w:numPr>
        <w:numId w:val="7"/>
      </w:numPr>
    </w:pPr>
  </w:style>
  <w:style w:type="paragraph" w:customStyle="1" w:styleId="FooterTableCaption">
    <w:name w:val="FooterTable Caption"/>
    <w:basedOn w:val="FooterTableFieldText"/>
    <w:next w:val="FooterTableFieldText"/>
    <w:uiPriority w:val="99"/>
    <w:rsid w:val="00734218"/>
    <w:pPr>
      <w:spacing w:before="44" w:after="54"/>
    </w:pPr>
    <w:rPr>
      <w:caps/>
      <w:spacing w:val="4"/>
      <w:sz w:val="12"/>
    </w:rPr>
  </w:style>
  <w:style w:type="table" w:customStyle="1" w:styleId="ABBFooterTable">
    <w:name w:val="ABB Footer Table"/>
    <w:basedOn w:val="TableNormal"/>
    <w:uiPriority w:val="99"/>
    <w:rsid w:val="005F566D"/>
    <w:pPr>
      <w:spacing w:before="20" w:after="30" w:line="192" w:lineRule="atLeast"/>
      <w:ind w:left="28" w:right="28"/>
    </w:pPr>
    <w:tblPr>
      <w:tblBorders>
        <w:top w:val="single" w:sz="18" w:space="0" w:color="auto"/>
        <w:bottom w:val="single" w:sz="8" w:space="0" w:color="auto"/>
        <w:insideH w:val="single" w:sz="4" w:space="0" w:color="A9A9A9"/>
        <w:insideV w:val="single" w:sz="4" w:space="0" w:color="A9A9A9"/>
      </w:tblBorders>
      <w:tblCellMar>
        <w:left w:w="0" w:type="dxa"/>
        <w:right w:w="0" w:type="dxa"/>
      </w:tblCellMar>
    </w:tblPr>
  </w:style>
  <w:style w:type="paragraph" w:customStyle="1" w:styleId="FooterTableDocumentID">
    <w:name w:val="FooterTable Document ID"/>
    <w:basedOn w:val="FooterTableFieldText"/>
    <w:uiPriority w:val="99"/>
    <w:rsid w:val="00E34AEA"/>
  </w:style>
  <w:style w:type="paragraph" w:customStyle="1" w:styleId="FooterTableFieldText">
    <w:name w:val="FooterTable Field Text"/>
    <w:basedOn w:val="Footer"/>
    <w:uiPriority w:val="99"/>
    <w:rsid w:val="006C4025"/>
    <w:pPr>
      <w:tabs>
        <w:tab w:val="clear" w:pos="9356"/>
        <w:tab w:val="left" w:pos="1276"/>
      </w:tabs>
      <w:ind w:left="0"/>
    </w:pPr>
  </w:style>
  <w:style w:type="paragraph" w:customStyle="1" w:styleId="FooterTableCopyright">
    <w:name w:val="FooterTable Copyright"/>
    <w:basedOn w:val="FooterTableCaption"/>
    <w:uiPriority w:val="99"/>
    <w:rsid w:val="000E0F7D"/>
    <w:pPr>
      <w:ind w:left="28" w:right="28"/>
    </w:pPr>
    <w:rPr>
      <w:rFonts w:eastAsia="Times New Roman" w:cstheme="minorHAnsi"/>
      <w:caps w:val="0"/>
      <w:spacing w:val="0"/>
      <w:kern w:val="0"/>
      <w:szCs w:val="20"/>
    </w:rPr>
  </w:style>
  <w:style w:type="paragraph" w:styleId="Bibliography">
    <w:name w:val="Bibliography"/>
    <w:basedOn w:val="Normal"/>
    <w:next w:val="Normal"/>
    <w:uiPriority w:val="49"/>
    <w:semiHidden/>
    <w:rsid w:val="000B5C90"/>
  </w:style>
  <w:style w:type="paragraph" w:styleId="BodyText">
    <w:name w:val="Body Text"/>
    <w:basedOn w:val="Normal"/>
    <w:link w:val="BodyTextChar"/>
    <w:uiPriority w:val="99"/>
    <w:semiHidden/>
    <w:unhideWhenUsed/>
    <w:rsid w:val="000B5C90"/>
    <w:pPr>
      <w:spacing w:after="120"/>
    </w:pPr>
  </w:style>
  <w:style w:type="character" w:customStyle="1" w:styleId="BodyTextChar">
    <w:name w:val="Body Text Char"/>
    <w:basedOn w:val="DefaultParagraphFont"/>
    <w:link w:val="BodyText"/>
    <w:uiPriority w:val="99"/>
    <w:semiHidden/>
    <w:rsid w:val="000B5C90"/>
    <w:rPr>
      <w:kern w:val="12"/>
      <w:lang w:val="en-US"/>
    </w:rPr>
  </w:style>
  <w:style w:type="paragraph" w:styleId="BodyText2">
    <w:name w:val="Body Text 2"/>
    <w:basedOn w:val="Normal"/>
    <w:link w:val="BodyText2Char"/>
    <w:uiPriority w:val="99"/>
    <w:semiHidden/>
    <w:unhideWhenUsed/>
    <w:rsid w:val="000B5C90"/>
    <w:pPr>
      <w:spacing w:after="120" w:line="480" w:lineRule="auto"/>
    </w:pPr>
  </w:style>
  <w:style w:type="character" w:customStyle="1" w:styleId="BodyText2Char">
    <w:name w:val="Body Text 2 Char"/>
    <w:basedOn w:val="DefaultParagraphFont"/>
    <w:link w:val="BodyText2"/>
    <w:uiPriority w:val="99"/>
    <w:semiHidden/>
    <w:rsid w:val="000B5C90"/>
    <w:rPr>
      <w:kern w:val="12"/>
      <w:lang w:val="en-US"/>
    </w:rPr>
  </w:style>
  <w:style w:type="paragraph" w:styleId="BodyText3">
    <w:name w:val="Body Text 3"/>
    <w:basedOn w:val="Normal"/>
    <w:link w:val="BodyText3Char"/>
    <w:uiPriority w:val="99"/>
    <w:semiHidden/>
    <w:rsid w:val="000B5C90"/>
    <w:pPr>
      <w:spacing w:after="120"/>
    </w:pPr>
    <w:rPr>
      <w:sz w:val="16"/>
      <w:szCs w:val="16"/>
    </w:rPr>
  </w:style>
  <w:style w:type="character" w:customStyle="1" w:styleId="BodyText3Char">
    <w:name w:val="Body Text 3 Char"/>
    <w:basedOn w:val="DefaultParagraphFont"/>
    <w:link w:val="BodyText3"/>
    <w:uiPriority w:val="99"/>
    <w:semiHidden/>
    <w:rsid w:val="000B5C90"/>
    <w:rPr>
      <w:kern w:val="12"/>
      <w:sz w:val="16"/>
      <w:szCs w:val="16"/>
      <w:lang w:val="en-US"/>
    </w:rPr>
  </w:style>
  <w:style w:type="paragraph" w:styleId="BodyTextFirstIndent">
    <w:name w:val="Body Text First Indent"/>
    <w:basedOn w:val="BodyText"/>
    <w:link w:val="BodyTextFirstIndentChar"/>
    <w:uiPriority w:val="99"/>
    <w:semiHidden/>
    <w:unhideWhenUsed/>
    <w:rsid w:val="000B5C90"/>
    <w:pPr>
      <w:spacing w:after="0"/>
      <w:ind w:firstLine="360"/>
    </w:pPr>
  </w:style>
  <w:style w:type="character" w:customStyle="1" w:styleId="BodyTextFirstIndentChar">
    <w:name w:val="Body Text First Indent Char"/>
    <w:basedOn w:val="BodyTextChar"/>
    <w:link w:val="BodyTextFirstIndent"/>
    <w:uiPriority w:val="99"/>
    <w:semiHidden/>
    <w:rsid w:val="000B5C90"/>
    <w:rPr>
      <w:kern w:val="12"/>
      <w:lang w:val="en-US"/>
    </w:rPr>
  </w:style>
  <w:style w:type="paragraph" w:styleId="BodyTextIndent">
    <w:name w:val="Body Text Indent"/>
    <w:basedOn w:val="Normal"/>
    <w:link w:val="BodyTextIndentChar"/>
    <w:uiPriority w:val="99"/>
    <w:semiHidden/>
    <w:unhideWhenUsed/>
    <w:rsid w:val="000B5C90"/>
    <w:pPr>
      <w:spacing w:after="120"/>
      <w:ind w:left="283"/>
    </w:pPr>
  </w:style>
  <w:style w:type="character" w:customStyle="1" w:styleId="BodyTextIndentChar">
    <w:name w:val="Body Text Indent Char"/>
    <w:basedOn w:val="DefaultParagraphFont"/>
    <w:link w:val="BodyTextIndent"/>
    <w:uiPriority w:val="99"/>
    <w:semiHidden/>
    <w:rsid w:val="000B5C90"/>
    <w:rPr>
      <w:kern w:val="12"/>
      <w:lang w:val="en-US"/>
    </w:rPr>
  </w:style>
  <w:style w:type="paragraph" w:styleId="BodyTextFirstIndent2">
    <w:name w:val="Body Text First Indent 2"/>
    <w:basedOn w:val="BodyTextIndent"/>
    <w:link w:val="BodyTextFirstIndent2Char"/>
    <w:uiPriority w:val="99"/>
    <w:semiHidden/>
    <w:unhideWhenUsed/>
    <w:rsid w:val="000B5C90"/>
    <w:pPr>
      <w:spacing w:after="0"/>
      <w:ind w:left="360" w:firstLine="360"/>
    </w:pPr>
  </w:style>
  <w:style w:type="character" w:customStyle="1" w:styleId="BodyTextFirstIndent2Char">
    <w:name w:val="Body Text First Indent 2 Char"/>
    <w:basedOn w:val="BodyTextIndentChar"/>
    <w:link w:val="BodyTextFirstIndent2"/>
    <w:uiPriority w:val="99"/>
    <w:semiHidden/>
    <w:rsid w:val="000B5C90"/>
    <w:rPr>
      <w:kern w:val="12"/>
      <w:lang w:val="en-US"/>
    </w:rPr>
  </w:style>
  <w:style w:type="paragraph" w:styleId="BodyTextIndent2">
    <w:name w:val="Body Text Indent 2"/>
    <w:basedOn w:val="Normal"/>
    <w:link w:val="BodyTextIndent2Char"/>
    <w:uiPriority w:val="99"/>
    <w:semiHidden/>
    <w:rsid w:val="000B5C90"/>
    <w:pPr>
      <w:spacing w:after="120" w:line="480" w:lineRule="auto"/>
      <w:ind w:left="283"/>
    </w:pPr>
  </w:style>
  <w:style w:type="character" w:customStyle="1" w:styleId="BodyTextIndent2Char">
    <w:name w:val="Body Text Indent 2 Char"/>
    <w:basedOn w:val="DefaultParagraphFont"/>
    <w:link w:val="BodyTextIndent2"/>
    <w:uiPriority w:val="99"/>
    <w:semiHidden/>
    <w:rsid w:val="000B5C90"/>
    <w:rPr>
      <w:kern w:val="12"/>
      <w:lang w:val="en-US"/>
    </w:rPr>
  </w:style>
  <w:style w:type="paragraph" w:styleId="BodyTextIndent3">
    <w:name w:val="Body Text Indent 3"/>
    <w:basedOn w:val="Normal"/>
    <w:link w:val="BodyTextIndent3Char"/>
    <w:uiPriority w:val="99"/>
    <w:semiHidden/>
    <w:rsid w:val="000B5C9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B5C90"/>
    <w:rPr>
      <w:kern w:val="12"/>
      <w:sz w:val="16"/>
      <w:szCs w:val="16"/>
      <w:lang w:val="en-US"/>
    </w:rPr>
  </w:style>
  <w:style w:type="paragraph" w:styleId="CommentText">
    <w:name w:val="annotation text"/>
    <w:basedOn w:val="Normal"/>
    <w:link w:val="CommentTextChar"/>
    <w:uiPriority w:val="99"/>
    <w:semiHidden/>
    <w:unhideWhenUsed/>
    <w:rsid w:val="000B5C90"/>
    <w:pPr>
      <w:spacing w:line="240" w:lineRule="auto"/>
    </w:pPr>
    <w:rPr>
      <w:sz w:val="20"/>
      <w:szCs w:val="20"/>
    </w:rPr>
  </w:style>
  <w:style w:type="character" w:customStyle="1" w:styleId="CommentTextChar">
    <w:name w:val="Comment Text Char"/>
    <w:basedOn w:val="DefaultParagraphFont"/>
    <w:link w:val="CommentText"/>
    <w:uiPriority w:val="99"/>
    <w:semiHidden/>
    <w:rsid w:val="000B5C90"/>
    <w:rPr>
      <w:kern w:val="12"/>
      <w:sz w:val="20"/>
      <w:szCs w:val="20"/>
      <w:lang w:val="en-US"/>
    </w:rPr>
  </w:style>
  <w:style w:type="paragraph" w:styleId="CommentSubject">
    <w:name w:val="annotation subject"/>
    <w:basedOn w:val="CommentText"/>
    <w:next w:val="CommentText"/>
    <w:link w:val="CommentSubjectChar"/>
    <w:uiPriority w:val="99"/>
    <w:semiHidden/>
    <w:unhideWhenUsed/>
    <w:rsid w:val="000B5C90"/>
    <w:rPr>
      <w:b/>
      <w:bCs/>
    </w:rPr>
  </w:style>
  <w:style w:type="character" w:customStyle="1" w:styleId="CommentSubjectChar">
    <w:name w:val="Comment Subject Char"/>
    <w:basedOn w:val="CommentTextChar"/>
    <w:link w:val="CommentSubject"/>
    <w:uiPriority w:val="99"/>
    <w:semiHidden/>
    <w:rsid w:val="000B5C90"/>
    <w:rPr>
      <w:b/>
      <w:bCs/>
      <w:kern w:val="12"/>
      <w:sz w:val="20"/>
      <w:szCs w:val="20"/>
      <w:lang w:val="en-US"/>
    </w:rPr>
  </w:style>
  <w:style w:type="paragraph" w:styleId="DocumentMap">
    <w:name w:val="Document Map"/>
    <w:basedOn w:val="Normal"/>
    <w:link w:val="DocumentMapChar"/>
    <w:uiPriority w:val="99"/>
    <w:semiHidden/>
    <w:unhideWhenUsed/>
    <w:rsid w:val="000B5C90"/>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B5C90"/>
    <w:rPr>
      <w:rFonts w:ascii="Segoe UI" w:hAnsi="Segoe UI" w:cs="Segoe UI"/>
      <w:kern w:val="12"/>
      <w:sz w:val="16"/>
      <w:szCs w:val="16"/>
      <w:lang w:val="en-US"/>
    </w:rPr>
  </w:style>
  <w:style w:type="paragraph" w:styleId="E-mailSignature">
    <w:name w:val="E-mail Signature"/>
    <w:basedOn w:val="Normal"/>
    <w:link w:val="E-mailSignatureChar"/>
    <w:uiPriority w:val="99"/>
    <w:semiHidden/>
    <w:unhideWhenUsed/>
    <w:rsid w:val="000B5C90"/>
    <w:pPr>
      <w:spacing w:line="240" w:lineRule="auto"/>
    </w:pPr>
  </w:style>
  <w:style w:type="character" w:customStyle="1" w:styleId="E-mailSignatureChar">
    <w:name w:val="E-mail Signature Char"/>
    <w:basedOn w:val="DefaultParagraphFont"/>
    <w:link w:val="E-mailSignature"/>
    <w:uiPriority w:val="99"/>
    <w:semiHidden/>
    <w:rsid w:val="000B5C90"/>
    <w:rPr>
      <w:kern w:val="12"/>
      <w:lang w:val="en-US"/>
    </w:rPr>
  </w:style>
  <w:style w:type="paragraph" w:styleId="HTMLAddress">
    <w:name w:val="HTML Address"/>
    <w:basedOn w:val="Normal"/>
    <w:link w:val="HTMLAddressChar"/>
    <w:uiPriority w:val="99"/>
    <w:semiHidden/>
    <w:unhideWhenUsed/>
    <w:rsid w:val="000B5C90"/>
    <w:pPr>
      <w:spacing w:line="240" w:lineRule="auto"/>
    </w:pPr>
    <w:rPr>
      <w:i/>
      <w:iCs/>
    </w:rPr>
  </w:style>
  <w:style w:type="character" w:customStyle="1" w:styleId="HTMLAddressChar">
    <w:name w:val="HTML Address Char"/>
    <w:basedOn w:val="DefaultParagraphFont"/>
    <w:link w:val="HTMLAddress"/>
    <w:uiPriority w:val="99"/>
    <w:semiHidden/>
    <w:rsid w:val="000B5C90"/>
    <w:rPr>
      <w:i/>
      <w:iCs/>
      <w:kern w:val="12"/>
      <w:lang w:val="en-US"/>
    </w:rPr>
  </w:style>
  <w:style w:type="paragraph" w:styleId="HTMLPreformatted">
    <w:name w:val="HTML Preformatted"/>
    <w:basedOn w:val="Normal"/>
    <w:link w:val="HTMLPreformattedChar"/>
    <w:uiPriority w:val="99"/>
    <w:semiHidden/>
    <w:unhideWhenUsed/>
    <w:rsid w:val="000B5C90"/>
    <w:pPr>
      <w:spacing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B5C90"/>
    <w:rPr>
      <w:rFonts w:ascii="Consolas" w:hAnsi="Consolas" w:cs="Consolas"/>
      <w:kern w:val="12"/>
      <w:sz w:val="20"/>
      <w:szCs w:val="20"/>
      <w:lang w:val="en-US"/>
    </w:rPr>
  </w:style>
  <w:style w:type="paragraph" w:styleId="Index1">
    <w:name w:val="index 1"/>
    <w:basedOn w:val="Normal"/>
    <w:next w:val="Normal"/>
    <w:autoRedefine/>
    <w:uiPriority w:val="99"/>
    <w:semiHidden/>
    <w:unhideWhenUsed/>
    <w:rsid w:val="000B5C90"/>
    <w:pPr>
      <w:spacing w:line="240" w:lineRule="auto"/>
      <w:ind w:left="190" w:hanging="190"/>
    </w:pPr>
  </w:style>
  <w:style w:type="paragraph" w:styleId="Index2">
    <w:name w:val="index 2"/>
    <w:basedOn w:val="Normal"/>
    <w:next w:val="Normal"/>
    <w:autoRedefine/>
    <w:uiPriority w:val="99"/>
    <w:semiHidden/>
    <w:unhideWhenUsed/>
    <w:rsid w:val="000B5C90"/>
    <w:pPr>
      <w:spacing w:line="240" w:lineRule="auto"/>
      <w:ind w:left="380" w:hanging="190"/>
    </w:pPr>
  </w:style>
  <w:style w:type="paragraph" w:styleId="Index3">
    <w:name w:val="index 3"/>
    <w:basedOn w:val="Normal"/>
    <w:next w:val="Normal"/>
    <w:autoRedefine/>
    <w:uiPriority w:val="99"/>
    <w:semiHidden/>
    <w:unhideWhenUsed/>
    <w:rsid w:val="000B5C90"/>
    <w:pPr>
      <w:spacing w:line="240" w:lineRule="auto"/>
      <w:ind w:left="570" w:hanging="190"/>
    </w:pPr>
  </w:style>
  <w:style w:type="paragraph" w:styleId="Index4">
    <w:name w:val="index 4"/>
    <w:basedOn w:val="Normal"/>
    <w:next w:val="Normal"/>
    <w:autoRedefine/>
    <w:uiPriority w:val="99"/>
    <w:semiHidden/>
    <w:unhideWhenUsed/>
    <w:rsid w:val="000B5C90"/>
    <w:pPr>
      <w:spacing w:line="240" w:lineRule="auto"/>
      <w:ind w:left="760" w:hanging="190"/>
    </w:pPr>
  </w:style>
  <w:style w:type="paragraph" w:styleId="Index5">
    <w:name w:val="index 5"/>
    <w:basedOn w:val="Normal"/>
    <w:next w:val="Normal"/>
    <w:autoRedefine/>
    <w:uiPriority w:val="99"/>
    <w:semiHidden/>
    <w:unhideWhenUsed/>
    <w:rsid w:val="000B5C90"/>
    <w:pPr>
      <w:spacing w:line="240" w:lineRule="auto"/>
      <w:ind w:left="950" w:hanging="190"/>
    </w:pPr>
  </w:style>
  <w:style w:type="paragraph" w:styleId="Index6">
    <w:name w:val="index 6"/>
    <w:basedOn w:val="Normal"/>
    <w:next w:val="Normal"/>
    <w:autoRedefine/>
    <w:uiPriority w:val="99"/>
    <w:semiHidden/>
    <w:unhideWhenUsed/>
    <w:rsid w:val="000B5C90"/>
    <w:pPr>
      <w:spacing w:line="240" w:lineRule="auto"/>
      <w:ind w:left="1140" w:hanging="190"/>
    </w:pPr>
  </w:style>
  <w:style w:type="paragraph" w:styleId="Index7">
    <w:name w:val="index 7"/>
    <w:basedOn w:val="Normal"/>
    <w:next w:val="Normal"/>
    <w:autoRedefine/>
    <w:uiPriority w:val="99"/>
    <w:semiHidden/>
    <w:unhideWhenUsed/>
    <w:rsid w:val="000B5C90"/>
    <w:pPr>
      <w:spacing w:line="240" w:lineRule="auto"/>
      <w:ind w:left="1330" w:hanging="190"/>
    </w:pPr>
  </w:style>
  <w:style w:type="paragraph" w:styleId="Index8">
    <w:name w:val="index 8"/>
    <w:basedOn w:val="Normal"/>
    <w:next w:val="Normal"/>
    <w:autoRedefine/>
    <w:uiPriority w:val="99"/>
    <w:semiHidden/>
    <w:unhideWhenUsed/>
    <w:rsid w:val="000B5C90"/>
    <w:pPr>
      <w:spacing w:line="240" w:lineRule="auto"/>
      <w:ind w:left="1520" w:hanging="190"/>
    </w:pPr>
  </w:style>
  <w:style w:type="paragraph" w:styleId="Index9">
    <w:name w:val="index 9"/>
    <w:basedOn w:val="Normal"/>
    <w:next w:val="Normal"/>
    <w:autoRedefine/>
    <w:uiPriority w:val="99"/>
    <w:semiHidden/>
    <w:unhideWhenUsed/>
    <w:rsid w:val="000B5C90"/>
    <w:pPr>
      <w:spacing w:line="240" w:lineRule="auto"/>
      <w:ind w:left="1710" w:hanging="190"/>
    </w:pPr>
  </w:style>
  <w:style w:type="paragraph" w:styleId="IndexHeading">
    <w:name w:val="index heading"/>
    <w:basedOn w:val="Normal"/>
    <w:next w:val="Index1"/>
    <w:uiPriority w:val="99"/>
    <w:semiHidden/>
    <w:unhideWhenUsed/>
    <w:rsid w:val="000B5C90"/>
    <w:rPr>
      <w:rFonts w:asciiTheme="majorHAnsi" w:eastAsiaTheme="majorEastAsia" w:hAnsiTheme="majorHAnsi" w:cstheme="majorBidi"/>
      <w:b/>
      <w:bCs/>
    </w:rPr>
  </w:style>
  <w:style w:type="paragraph" w:styleId="IntenseQuote">
    <w:name w:val="Intense Quote"/>
    <w:basedOn w:val="Normal"/>
    <w:next w:val="Normal"/>
    <w:link w:val="IntenseQuoteChar"/>
    <w:uiPriority w:val="49"/>
    <w:semiHidden/>
    <w:qFormat/>
    <w:rsid w:val="000B5C90"/>
    <w:pPr>
      <w:pBdr>
        <w:top w:val="single" w:sz="4" w:space="10" w:color="262626" w:themeColor="accent1"/>
        <w:bottom w:val="single" w:sz="4" w:space="10" w:color="262626" w:themeColor="accent1"/>
      </w:pBdr>
      <w:spacing w:before="360" w:after="360"/>
      <w:ind w:left="864" w:right="864"/>
      <w:jc w:val="center"/>
    </w:pPr>
    <w:rPr>
      <w:i/>
      <w:iCs/>
      <w:color w:val="262626" w:themeColor="accent1"/>
    </w:rPr>
  </w:style>
  <w:style w:type="character" w:customStyle="1" w:styleId="IntenseQuoteChar">
    <w:name w:val="Intense Quote Char"/>
    <w:basedOn w:val="DefaultParagraphFont"/>
    <w:link w:val="IntenseQuote"/>
    <w:uiPriority w:val="49"/>
    <w:semiHidden/>
    <w:rsid w:val="000B5C90"/>
    <w:rPr>
      <w:i/>
      <w:iCs/>
      <w:color w:val="262626" w:themeColor="accent1"/>
      <w:kern w:val="12"/>
      <w:lang w:val="en-US"/>
    </w:rPr>
  </w:style>
  <w:style w:type="paragraph" w:styleId="List">
    <w:name w:val="List"/>
    <w:basedOn w:val="Normal"/>
    <w:uiPriority w:val="99"/>
    <w:semiHidden/>
    <w:rsid w:val="000B5C90"/>
    <w:pPr>
      <w:ind w:left="283" w:hanging="283"/>
      <w:contextualSpacing/>
    </w:pPr>
  </w:style>
  <w:style w:type="paragraph" w:styleId="List2">
    <w:name w:val="List 2"/>
    <w:basedOn w:val="Normal"/>
    <w:uiPriority w:val="99"/>
    <w:semiHidden/>
    <w:rsid w:val="000B5C90"/>
    <w:pPr>
      <w:ind w:left="566" w:hanging="283"/>
      <w:contextualSpacing/>
    </w:pPr>
  </w:style>
  <w:style w:type="paragraph" w:styleId="List3">
    <w:name w:val="List 3"/>
    <w:basedOn w:val="Normal"/>
    <w:uiPriority w:val="99"/>
    <w:semiHidden/>
    <w:rsid w:val="000B5C90"/>
    <w:pPr>
      <w:ind w:left="849" w:hanging="283"/>
      <w:contextualSpacing/>
    </w:pPr>
  </w:style>
  <w:style w:type="paragraph" w:styleId="List4">
    <w:name w:val="List 4"/>
    <w:basedOn w:val="Normal"/>
    <w:uiPriority w:val="99"/>
    <w:semiHidden/>
    <w:rsid w:val="000B5C90"/>
    <w:pPr>
      <w:ind w:left="1132" w:hanging="283"/>
      <w:contextualSpacing/>
    </w:pPr>
  </w:style>
  <w:style w:type="paragraph" w:styleId="List5">
    <w:name w:val="List 5"/>
    <w:basedOn w:val="Normal"/>
    <w:uiPriority w:val="99"/>
    <w:semiHidden/>
    <w:rsid w:val="000B5C90"/>
    <w:pPr>
      <w:ind w:left="1415" w:hanging="283"/>
      <w:contextualSpacing/>
    </w:pPr>
  </w:style>
  <w:style w:type="paragraph" w:customStyle="1" w:styleId="NewHeading1">
    <w:name w:val="_New Heading1"/>
    <w:aliases w:val="_Heading"/>
    <w:basedOn w:val="ABB-x-Heading"/>
    <w:link w:val="NewHeading1Char"/>
    <w:autoRedefine/>
    <w:uiPriority w:val="3"/>
    <w:qFormat/>
    <w:rsid w:val="00996ADA"/>
    <w:pPr>
      <w:ind w:left="0" w:hanging="992"/>
    </w:pPr>
    <w:rPr>
      <w:sz w:val="40"/>
    </w:rPr>
  </w:style>
  <w:style w:type="paragraph" w:styleId="ListBullet4">
    <w:name w:val="List Bullet 4"/>
    <w:basedOn w:val="Normal"/>
    <w:uiPriority w:val="99"/>
    <w:semiHidden/>
    <w:unhideWhenUsed/>
    <w:rsid w:val="000B5C90"/>
    <w:pPr>
      <w:numPr>
        <w:numId w:val="12"/>
      </w:numPr>
      <w:contextualSpacing/>
    </w:pPr>
  </w:style>
  <w:style w:type="paragraph" w:styleId="ListBullet5">
    <w:name w:val="List Bullet 5"/>
    <w:basedOn w:val="Normal"/>
    <w:uiPriority w:val="99"/>
    <w:semiHidden/>
    <w:unhideWhenUsed/>
    <w:rsid w:val="000B5C90"/>
    <w:pPr>
      <w:numPr>
        <w:numId w:val="13"/>
      </w:numPr>
      <w:tabs>
        <w:tab w:val="clear" w:pos="1492"/>
      </w:tabs>
      <w:ind w:left="926"/>
      <w:contextualSpacing/>
    </w:pPr>
  </w:style>
  <w:style w:type="paragraph" w:styleId="ListContinue">
    <w:name w:val="List Continue"/>
    <w:basedOn w:val="Normal"/>
    <w:uiPriority w:val="99"/>
    <w:semiHidden/>
    <w:unhideWhenUsed/>
    <w:rsid w:val="000B5C90"/>
    <w:pPr>
      <w:spacing w:after="120"/>
      <w:ind w:left="283"/>
      <w:contextualSpacing/>
    </w:pPr>
  </w:style>
  <w:style w:type="paragraph" w:styleId="ListContinue2">
    <w:name w:val="List Continue 2"/>
    <w:basedOn w:val="Normal"/>
    <w:uiPriority w:val="99"/>
    <w:semiHidden/>
    <w:unhideWhenUsed/>
    <w:rsid w:val="000B5C90"/>
    <w:pPr>
      <w:spacing w:after="120"/>
      <w:ind w:left="566"/>
      <w:contextualSpacing/>
    </w:pPr>
  </w:style>
  <w:style w:type="paragraph" w:styleId="ListContinue3">
    <w:name w:val="List Continue 3"/>
    <w:basedOn w:val="Normal"/>
    <w:uiPriority w:val="99"/>
    <w:semiHidden/>
    <w:unhideWhenUsed/>
    <w:rsid w:val="000B5C90"/>
    <w:pPr>
      <w:spacing w:after="120"/>
      <w:ind w:left="849"/>
      <w:contextualSpacing/>
    </w:pPr>
  </w:style>
  <w:style w:type="paragraph" w:styleId="ListContinue4">
    <w:name w:val="List Continue 4"/>
    <w:basedOn w:val="Normal"/>
    <w:uiPriority w:val="99"/>
    <w:semiHidden/>
    <w:unhideWhenUsed/>
    <w:rsid w:val="000B5C90"/>
    <w:pPr>
      <w:spacing w:after="120"/>
      <w:ind w:left="1132"/>
      <w:contextualSpacing/>
    </w:pPr>
  </w:style>
  <w:style w:type="paragraph" w:styleId="ListContinue5">
    <w:name w:val="List Continue 5"/>
    <w:basedOn w:val="Normal"/>
    <w:uiPriority w:val="99"/>
    <w:semiHidden/>
    <w:unhideWhenUsed/>
    <w:rsid w:val="000B5C90"/>
    <w:pPr>
      <w:spacing w:after="120"/>
      <w:ind w:left="1415"/>
      <w:contextualSpacing/>
    </w:pPr>
  </w:style>
  <w:style w:type="paragraph" w:styleId="ListNumber3">
    <w:name w:val="List Number 3"/>
    <w:basedOn w:val="Normal"/>
    <w:uiPriority w:val="99"/>
    <w:semiHidden/>
    <w:rsid w:val="000B5C90"/>
    <w:pPr>
      <w:numPr>
        <w:numId w:val="14"/>
      </w:numPr>
      <w:contextualSpacing/>
    </w:pPr>
  </w:style>
  <w:style w:type="paragraph" w:styleId="ListNumber4">
    <w:name w:val="List Number 4"/>
    <w:basedOn w:val="Normal"/>
    <w:uiPriority w:val="99"/>
    <w:semiHidden/>
    <w:rsid w:val="000B5C90"/>
    <w:pPr>
      <w:numPr>
        <w:numId w:val="15"/>
      </w:numPr>
      <w:contextualSpacing/>
    </w:pPr>
  </w:style>
  <w:style w:type="paragraph" w:styleId="ListNumber5">
    <w:name w:val="List Number 5"/>
    <w:basedOn w:val="Normal"/>
    <w:uiPriority w:val="99"/>
    <w:semiHidden/>
    <w:unhideWhenUsed/>
    <w:rsid w:val="000B5C90"/>
    <w:pPr>
      <w:numPr>
        <w:numId w:val="16"/>
      </w:numPr>
      <w:contextualSpacing/>
    </w:pPr>
  </w:style>
  <w:style w:type="paragraph" w:styleId="MacroText">
    <w:name w:val="macro"/>
    <w:link w:val="MacroTextChar"/>
    <w:uiPriority w:val="99"/>
    <w:semiHidden/>
    <w:unhideWhenUsed/>
    <w:rsid w:val="000B5C9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kern w:val="12"/>
      <w:sz w:val="20"/>
      <w:szCs w:val="20"/>
      <w:lang w:val="en-US"/>
    </w:rPr>
  </w:style>
  <w:style w:type="character" w:customStyle="1" w:styleId="MacroTextChar">
    <w:name w:val="Macro Text Char"/>
    <w:basedOn w:val="DefaultParagraphFont"/>
    <w:link w:val="MacroText"/>
    <w:uiPriority w:val="99"/>
    <w:semiHidden/>
    <w:rsid w:val="000B5C90"/>
    <w:rPr>
      <w:rFonts w:ascii="Consolas" w:hAnsi="Consolas" w:cs="Consolas"/>
      <w:kern w:val="12"/>
      <w:sz w:val="20"/>
      <w:szCs w:val="20"/>
      <w:lang w:val="en-US"/>
    </w:rPr>
  </w:style>
  <w:style w:type="paragraph" w:styleId="MessageHeader">
    <w:name w:val="Message Header"/>
    <w:basedOn w:val="Normal"/>
    <w:link w:val="MessageHeaderChar"/>
    <w:uiPriority w:val="99"/>
    <w:semiHidden/>
    <w:unhideWhenUsed/>
    <w:rsid w:val="000B5C9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B5C90"/>
    <w:rPr>
      <w:rFonts w:asciiTheme="majorHAnsi" w:eastAsiaTheme="majorEastAsia" w:hAnsiTheme="majorHAnsi" w:cstheme="majorBidi"/>
      <w:kern w:val="12"/>
      <w:sz w:val="24"/>
      <w:szCs w:val="24"/>
      <w:shd w:val="pct20" w:color="auto" w:fill="auto"/>
      <w:lang w:val="en-US"/>
    </w:rPr>
  </w:style>
  <w:style w:type="paragraph" w:styleId="NormalWeb">
    <w:name w:val="Normal (Web)"/>
    <w:basedOn w:val="Normal"/>
    <w:uiPriority w:val="99"/>
    <w:semiHidden/>
    <w:unhideWhenUsed/>
    <w:rsid w:val="000B5C90"/>
    <w:rPr>
      <w:rFonts w:ascii="Times New Roman" w:hAnsi="Times New Roman" w:cs="Times New Roman"/>
      <w:sz w:val="24"/>
      <w:szCs w:val="24"/>
    </w:rPr>
  </w:style>
  <w:style w:type="paragraph" w:styleId="NormalIndent">
    <w:name w:val="Normal Indent"/>
    <w:basedOn w:val="Normal"/>
    <w:uiPriority w:val="99"/>
    <w:semiHidden/>
    <w:unhideWhenUsed/>
    <w:rsid w:val="000B5C90"/>
    <w:pPr>
      <w:ind w:left="720"/>
    </w:pPr>
  </w:style>
  <w:style w:type="paragraph" w:styleId="PlainText">
    <w:name w:val="Plain Text"/>
    <w:basedOn w:val="Normal"/>
    <w:link w:val="PlainTextChar"/>
    <w:uiPriority w:val="99"/>
    <w:semiHidden/>
    <w:unhideWhenUsed/>
    <w:rsid w:val="000B5C90"/>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0B5C90"/>
    <w:rPr>
      <w:rFonts w:ascii="Consolas" w:hAnsi="Consolas" w:cs="Consolas"/>
      <w:kern w:val="12"/>
      <w:sz w:val="21"/>
      <w:szCs w:val="21"/>
      <w:lang w:val="en-US"/>
    </w:rPr>
  </w:style>
  <w:style w:type="paragraph" w:styleId="Quote">
    <w:name w:val="Quote"/>
    <w:basedOn w:val="Normal"/>
    <w:next w:val="Normal"/>
    <w:link w:val="QuoteChar"/>
    <w:uiPriority w:val="99"/>
    <w:semiHidden/>
    <w:qFormat/>
    <w:rsid w:val="000B5C9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semiHidden/>
    <w:rsid w:val="000B5C90"/>
    <w:rPr>
      <w:i/>
      <w:iCs/>
      <w:color w:val="404040" w:themeColor="text1" w:themeTint="BF"/>
      <w:kern w:val="12"/>
      <w:lang w:val="en-US"/>
    </w:rPr>
  </w:style>
  <w:style w:type="paragraph" w:styleId="Salutation">
    <w:name w:val="Salutation"/>
    <w:basedOn w:val="Normal"/>
    <w:next w:val="Normal"/>
    <w:link w:val="SalutationChar"/>
    <w:uiPriority w:val="99"/>
    <w:semiHidden/>
    <w:unhideWhenUsed/>
    <w:rsid w:val="000B5C90"/>
  </w:style>
  <w:style w:type="character" w:customStyle="1" w:styleId="SalutationChar">
    <w:name w:val="Salutation Char"/>
    <w:basedOn w:val="DefaultParagraphFont"/>
    <w:link w:val="Salutation"/>
    <w:uiPriority w:val="99"/>
    <w:semiHidden/>
    <w:rsid w:val="000B5C90"/>
    <w:rPr>
      <w:kern w:val="12"/>
      <w:lang w:val="en-US"/>
    </w:rPr>
  </w:style>
  <w:style w:type="paragraph" w:styleId="TableofAuthorities">
    <w:name w:val="table of authorities"/>
    <w:basedOn w:val="Normal"/>
    <w:next w:val="Normal"/>
    <w:uiPriority w:val="99"/>
    <w:semiHidden/>
    <w:unhideWhenUsed/>
    <w:rsid w:val="000B5C90"/>
    <w:pPr>
      <w:ind w:left="190" w:hanging="190"/>
    </w:pPr>
  </w:style>
  <w:style w:type="paragraph" w:styleId="TOAHeading">
    <w:name w:val="toa heading"/>
    <w:basedOn w:val="Normal"/>
    <w:next w:val="Normal"/>
    <w:uiPriority w:val="99"/>
    <w:semiHidden/>
    <w:unhideWhenUsed/>
    <w:rsid w:val="000B5C90"/>
    <w:pPr>
      <w:spacing w:before="120"/>
    </w:pPr>
    <w:rPr>
      <w:rFonts w:asciiTheme="majorHAnsi" w:eastAsiaTheme="majorEastAsia" w:hAnsiTheme="majorHAnsi" w:cstheme="majorBidi"/>
      <w:b/>
      <w:bCs/>
      <w:sz w:val="24"/>
      <w:szCs w:val="24"/>
    </w:rPr>
  </w:style>
  <w:style w:type="paragraph" w:customStyle="1" w:styleId="Code">
    <w:name w:val="_Code"/>
    <w:basedOn w:val="Body"/>
    <w:link w:val="CodeChar"/>
    <w:qFormat/>
    <w:rsid w:val="00FC59C9"/>
    <w:rPr>
      <w:rFonts w:ascii="Courier New" w:hAnsi="Courier New"/>
    </w:rPr>
  </w:style>
  <w:style w:type="character" w:customStyle="1" w:styleId="CodeChar">
    <w:name w:val="_Code Char"/>
    <w:basedOn w:val="DefaultParagraphFont"/>
    <w:link w:val="Code"/>
    <w:rsid w:val="00E26190"/>
    <w:rPr>
      <w:rFonts w:ascii="Courier New" w:hAnsi="Courier New"/>
      <w:kern w:val="12"/>
      <w:lang w:val="en-US"/>
    </w:rPr>
  </w:style>
  <w:style w:type="table" w:customStyle="1" w:styleId="ABBFooterTable1">
    <w:name w:val="ABB Footer Table1"/>
    <w:basedOn w:val="TableNormal"/>
    <w:uiPriority w:val="99"/>
    <w:rsid w:val="005158D7"/>
    <w:pPr>
      <w:spacing w:before="20" w:after="30" w:line="192" w:lineRule="atLeast"/>
      <w:ind w:left="28" w:right="28"/>
    </w:pPr>
    <w:tblPr>
      <w:tblBorders>
        <w:top w:val="single" w:sz="18" w:space="0" w:color="auto"/>
        <w:bottom w:val="single" w:sz="8" w:space="0" w:color="auto"/>
        <w:insideH w:val="single" w:sz="4" w:space="0" w:color="A9A9A9"/>
        <w:insideV w:val="single" w:sz="4" w:space="0" w:color="A9A9A9"/>
      </w:tblBorders>
      <w:tblCellMar>
        <w:left w:w="0" w:type="dxa"/>
        <w:right w:w="0" w:type="dxa"/>
      </w:tblCellMar>
    </w:tblPr>
  </w:style>
  <w:style w:type="table" w:customStyle="1" w:styleId="ABBFooterTable2">
    <w:name w:val="ABB Footer Table2"/>
    <w:basedOn w:val="TableNormal"/>
    <w:uiPriority w:val="99"/>
    <w:rsid w:val="00E95050"/>
    <w:pPr>
      <w:spacing w:before="20" w:after="30" w:line="192" w:lineRule="atLeast"/>
      <w:ind w:left="28" w:right="28"/>
    </w:pPr>
    <w:tblPr>
      <w:tblBorders>
        <w:top w:val="single" w:sz="18" w:space="0" w:color="auto"/>
        <w:bottom w:val="single" w:sz="8" w:space="0" w:color="auto"/>
        <w:insideH w:val="single" w:sz="4" w:space="0" w:color="A9A9A9"/>
        <w:insideV w:val="single" w:sz="4" w:space="0" w:color="A9A9A9"/>
      </w:tblBorders>
      <w:tblCellMar>
        <w:left w:w="0" w:type="dxa"/>
        <w:right w:w="0" w:type="dxa"/>
      </w:tblCellMar>
    </w:tblPr>
  </w:style>
  <w:style w:type="character" w:styleId="CommentReference">
    <w:name w:val="annotation reference"/>
    <w:basedOn w:val="DefaultParagraphFont"/>
    <w:uiPriority w:val="99"/>
    <w:semiHidden/>
    <w:unhideWhenUsed/>
    <w:rsid w:val="00444CC4"/>
    <w:rPr>
      <w:sz w:val="16"/>
      <w:szCs w:val="16"/>
    </w:rPr>
  </w:style>
  <w:style w:type="paragraph" w:customStyle="1" w:styleId="TableTextSmall0">
    <w:name w:val="Table Text Small"/>
    <w:basedOn w:val="Normal"/>
    <w:uiPriority w:val="10"/>
    <w:semiHidden/>
    <w:qFormat/>
    <w:rsid w:val="00444CC4"/>
    <w:pPr>
      <w:spacing w:line="220" w:lineRule="atLeast"/>
    </w:pPr>
    <w:rPr>
      <w:sz w:val="16"/>
      <w:szCs w:val="16"/>
      <w:u w:color="D90000" w:themeColor="text2"/>
    </w:rPr>
  </w:style>
  <w:style w:type="paragraph" w:customStyle="1" w:styleId="SafetyText">
    <w:name w:val="_Safety Text"/>
    <w:basedOn w:val="BodyText"/>
    <w:uiPriority w:val="7"/>
    <w:qFormat/>
    <w:rsid w:val="00161BA6"/>
    <w:pPr>
      <w:keepLines/>
    </w:pPr>
    <w:rPr>
      <w:b/>
      <w:szCs w:val="22"/>
      <w:u w:color="D90000" w:themeColor="text2"/>
    </w:rPr>
  </w:style>
  <w:style w:type="paragraph" w:customStyle="1" w:styleId="DangerHeader">
    <w:name w:val="_Danger Header"/>
    <w:basedOn w:val="SafetyText"/>
    <w:uiPriority w:val="8"/>
    <w:rsid w:val="00161BA6"/>
    <w:pPr>
      <w:keepNext/>
      <w:spacing w:before="40" w:after="40"/>
      <w:jc w:val="center"/>
    </w:pPr>
    <w:rPr>
      <w:color w:val="FFFFFF" w:themeColor="background1"/>
    </w:rPr>
  </w:style>
  <w:style w:type="character" w:customStyle="1" w:styleId="Symbol">
    <w:name w:val="Symbol"/>
    <w:basedOn w:val="DefaultParagraphFont"/>
    <w:uiPriority w:val="37"/>
    <w:rsid w:val="00161BA6"/>
    <w:rPr>
      <w:position w:val="-4"/>
    </w:rPr>
  </w:style>
  <w:style w:type="table" w:customStyle="1" w:styleId="ABBFooterTable3">
    <w:name w:val="ABB Footer Table3"/>
    <w:basedOn w:val="TableNormal"/>
    <w:uiPriority w:val="99"/>
    <w:rsid w:val="00D05CE6"/>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4">
    <w:name w:val="ABB Footer Table4"/>
    <w:basedOn w:val="TableNormal"/>
    <w:uiPriority w:val="99"/>
    <w:rsid w:val="00FD2F1F"/>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5">
    <w:name w:val="ABB Footer Table5"/>
    <w:basedOn w:val="TableNormal"/>
    <w:uiPriority w:val="99"/>
    <w:rsid w:val="00C92ED8"/>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6">
    <w:name w:val="ABB Footer Table6"/>
    <w:basedOn w:val="TableNormal"/>
    <w:uiPriority w:val="99"/>
    <w:rsid w:val="00A14C58"/>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7">
    <w:name w:val="ABB Footer Table7"/>
    <w:basedOn w:val="TableNormal"/>
    <w:uiPriority w:val="99"/>
    <w:rsid w:val="008E6C9F"/>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8">
    <w:name w:val="ABB Footer Table8"/>
    <w:basedOn w:val="TableNormal"/>
    <w:uiPriority w:val="99"/>
    <w:rsid w:val="00273E84"/>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9">
    <w:name w:val="ABB Footer Table9"/>
    <w:basedOn w:val="TableNormal"/>
    <w:uiPriority w:val="99"/>
    <w:rsid w:val="003B5D1A"/>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10">
    <w:name w:val="ABB Footer Table10"/>
    <w:basedOn w:val="TableNormal"/>
    <w:uiPriority w:val="99"/>
    <w:rsid w:val="00E56463"/>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11">
    <w:name w:val="ABB Footer Table11"/>
    <w:basedOn w:val="TableNormal"/>
    <w:uiPriority w:val="99"/>
    <w:rsid w:val="007B2E56"/>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12">
    <w:name w:val="ABB Footer Table12"/>
    <w:basedOn w:val="TableNormal"/>
    <w:uiPriority w:val="99"/>
    <w:rsid w:val="002409CA"/>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13">
    <w:name w:val="ABB Footer Table13"/>
    <w:basedOn w:val="TableNormal"/>
    <w:uiPriority w:val="99"/>
    <w:rsid w:val="00EA1ABB"/>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14">
    <w:name w:val="ABB Footer Table14"/>
    <w:basedOn w:val="TableNormal"/>
    <w:uiPriority w:val="99"/>
    <w:rsid w:val="009B4D08"/>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15">
    <w:name w:val="ABB Footer Table15"/>
    <w:basedOn w:val="TableNormal"/>
    <w:uiPriority w:val="99"/>
    <w:rsid w:val="008C7D55"/>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16">
    <w:name w:val="ABB Footer Table16"/>
    <w:basedOn w:val="TableNormal"/>
    <w:uiPriority w:val="99"/>
    <w:rsid w:val="00E06470"/>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ABBFooterTable17">
    <w:name w:val="ABB Footer Table17"/>
    <w:basedOn w:val="TableNormal"/>
    <w:uiPriority w:val="99"/>
    <w:rsid w:val="00365A6D"/>
    <w:pPr>
      <w:spacing w:before="20" w:after="30" w:line="192" w:lineRule="atLeast"/>
      <w:ind w:left="28" w:right="28"/>
    </w:pPr>
    <w:rPr>
      <w:kern w:val="12"/>
      <w:sz w:val="16"/>
      <w:szCs w:val="16"/>
      <w:u w:color="D90000" w:themeColor="text2"/>
    </w:rPr>
    <w:tblPr>
      <w:tblBorders>
        <w:top w:val="single" w:sz="18" w:space="0" w:color="auto"/>
        <w:bottom w:val="single" w:sz="8" w:space="0" w:color="auto"/>
        <w:insideH w:val="single" w:sz="4" w:space="0" w:color="A9A9A9"/>
      </w:tblBorders>
      <w:tblCellMar>
        <w:left w:w="0" w:type="dxa"/>
        <w:right w:w="0" w:type="dxa"/>
      </w:tblCellMar>
    </w:tblPr>
  </w:style>
  <w:style w:type="table" w:customStyle="1" w:styleId="LayoutTable1">
    <w:name w:val="Layout Table1"/>
    <w:basedOn w:val="TableNormal"/>
    <w:next w:val="TableGrid"/>
    <w:uiPriority w:val="59"/>
    <w:rsid w:val="0014712A"/>
    <w:pPr>
      <w:keepLines/>
    </w:pPr>
    <w:rPr>
      <w:kern w:val="12"/>
      <w:sz w:val="16"/>
      <w:szCs w:val="22"/>
      <w:u w:color="D90000" w:themeColor="text2"/>
      <w:lang w:val="en-US"/>
    </w:rPr>
    <w:tblPr>
      <w:tblCellMar>
        <w:left w:w="0" w:type="dxa"/>
        <w:right w:w="0" w:type="dxa"/>
      </w:tblCellMar>
    </w:tblPr>
    <w:tblStylePr w:type="firstCol">
      <w:pPr>
        <w:wordWrap/>
        <w:ind w:leftChars="0" w:left="0"/>
      </w:pPr>
    </w:tblStylePr>
  </w:style>
  <w:style w:type="paragraph" w:customStyle="1" w:styleId="CautionHeader">
    <w:name w:val="_Caution Header"/>
    <w:basedOn w:val="Normal"/>
    <w:uiPriority w:val="8"/>
    <w:rsid w:val="0014712A"/>
    <w:pPr>
      <w:keepNext/>
      <w:keepLines/>
      <w:suppressAutoHyphens/>
      <w:spacing w:before="40" w:after="40"/>
      <w:jc w:val="center"/>
    </w:pPr>
    <w:rPr>
      <w:b/>
      <w:szCs w:val="22"/>
      <w:u w:color="D90000" w:themeColor="text2"/>
    </w:rPr>
  </w:style>
  <w:style w:type="table" w:customStyle="1" w:styleId="LayoutTable2">
    <w:name w:val="Layout Table2"/>
    <w:basedOn w:val="TableNormal"/>
    <w:next w:val="TableGrid"/>
    <w:uiPriority w:val="59"/>
    <w:rsid w:val="003F6865"/>
    <w:pPr>
      <w:keepLines/>
    </w:pPr>
    <w:rPr>
      <w:kern w:val="12"/>
      <w:sz w:val="16"/>
      <w:szCs w:val="22"/>
      <w:u w:color="D90000" w:themeColor="text2"/>
      <w:lang w:val="en-US"/>
    </w:rPr>
    <w:tblPr>
      <w:tblCellMar>
        <w:left w:w="0" w:type="dxa"/>
        <w:right w:w="0" w:type="dxa"/>
      </w:tblCellMar>
    </w:tblPr>
    <w:tblStylePr w:type="firstCol">
      <w:pPr>
        <w:wordWrap/>
        <w:ind w:leftChars="0" w:left="0"/>
      </w:pPr>
    </w:tblStylePr>
  </w:style>
  <w:style w:type="table" w:customStyle="1" w:styleId="LayoutTable3">
    <w:name w:val="Layout Table3"/>
    <w:basedOn w:val="TableNormal"/>
    <w:next w:val="TableGrid"/>
    <w:uiPriority w:val="59"/>
    <w:rsid w:val="003F6865"/>
    <w:pPr>
      <w:keepLines/>
    </w:pPr>
    <w:rPr>
      <w:kern w:val="12"/>
      <w:sz w:val="16"/>
      <w:szCs w:val="22"/>
      <w:u w:color="D90000" w:themeColor="text2"/>
      <w:lang w:val="en-US"/>
    </w:rPr>
    <w:tblPr>
      <w:tblCellMar>
        <w:left w:w="0" w:type="dxa"/>
        <w:right w:w="0" w:type="dxa"/>
      </w:tblCellMar>
    </w:tblPr>
    <w:tblStylePr w:type="firstCol">
      <w:pPr>
        <w:wordWrap/>
        <w:ind w:leftChars="0" w:left="0"/>
      </w:pPr>
    </w:tblStylePr>
  </w:style>
  <w:style w:type="table" w:customStyle="1" w:styleId="LayoutTable4">
    <w:name w:val="Layout Table4"/>
    <w:basedOn w:val="TableNormal"/>
    <w:next w:val="TableGrid"/>
    <w:uiPriority w:val="59"/>
    <w:rsid w:val="00D3618D"/>
    <w:pPr>
      <w:keepLines/>
    </w:pPr>
    <w:rPr>
      <w:kern w:val="12"/>
      <w:sz w:val="16"/>
      <w:szCs w:val="22"/>
      <w:u w:color="D90000" w:themeColor="text2"/>
      <w:lang w:val="en-US"/>
    </w:rPr>
    <w:tblPr>
      <w:tblCellMar>
        <w:left w:w="0" w:type="dxa"/>
        <w:right w:w="0" w:type="dxa"/>
      </w:tblCellMar>
    </w:tblPr>
    <w:tblStylePr w:type="firstCol">
      <w:pPr>
        <w:wordWrap/>
        <w:ind w:leftChars="0" w:left="0"/>
      </w:pPr>
    </w:tblStylePr>
  </w:style>
  <w:style w:type="character" w:customStyle="1" w:styleId="ABB-x-HeadingChar">
    <w:name w:val="ABB-x-Heading Char"/>
    <w:basedOn w:val="ABB-x-NormalChar"/>
    <w:link w:val="ABB-x-Heading"/>
    <w:uiPriority w:val="99"/>
    <w:semiHidden/>
    <w:rsid w:val="00996ADA"/>
    <w:rPr>
      <w:rFonts w:asciiTheme="majorHAnsi" w:hAnsiTheme="majorHAnsi"/>
      <w:b/>
      <w:kern w:val="12"/>
      <w:lang w:val="en-US"/>
    </w:rPr>
  </w:style>
  <w:style w:type="character" w:customStyle="1" w:styleId="NewHeading1Char">
    <w:name w:val="_New Heading1 Char"/>
    <w:aliases w:val="_Heading Char"/>
    <w:basedOn w:val="ABB-x-HeadingChar"/>
    <w:link w:val="NewHeading1"/>
    <w:uiPriority w:val="3"/>
    <w:rsid w:val="008470B4"/>
    <w:rPr>
      <w:rFonts w:asciiTheme="majorHAnsi" w:hAnsiTheme="majorHAnsi"/>
      <w:b/>
      <w:kern w:val="12"/>
      <w:sz w:val="40"/>
      <w:lang w:val="en-US"/>
    </w:rPr>
  </w:style>
  <w:style w:type="paragraph" w:customStyle="1" w:styleId="Body0">
    <w:name w:val="Body"/>
    <w:rsid w:val="00F54C25"/>
    <w:pPr>
      <w:spacing w:after="120" w:line="240" w:lineRule="auto"/>
      <w:ind w:left="1418"/>
    </w:pPr>
    <w:rPr>
      <w:rFonts w:ascii="Arial" w:eastAsia="Times New Roman" w:hAnsi="Arial" w:cs="Times New Roman"/>
      <w:sz w:val="22"/>
      <w:szCs w:val="20"/>
      <w:u w:color="D90000" w:themeColor="text2"/>
      <w:lang w:val="en-US"/>
    </w:rPr>
  </w:style>
  <w:style w:type="paragraph" w:customStyle="1" w:styleId="paragraph">
    <w:name w:val="paragraph"/>
    <w:basedOn w:val="Normal"/>
    <w:rsid w:val="002D6839"/>
    <w:pPr>
      <w:spacing w:before="100" w:beforeAutospacing="1" w:after="100" w:afterAutospacing="1" w:line="240" w:lineRule="auto"/>
    </w:pPr>
    <w:rPr>
      <w:rFonts w:ascii="Arial" w:eastAsia="Times New Roman" w:hAnsi="Arial" w:cs="Times New Roman"/>
      <w:kern w:val="0"/>
      <w:sz w:val="18"/>
      <w:szCs w:val="24"/>
    </w:rPr>
  </w:style>
  <w:style w:type="character" w:customStyle="1" w:styleId="normaltextrun">
    <w:name w:val="normaltextrun"/>
    <w:basedOn w:val="DefaultParagraphFont"/>
    <w:rsid w:val="002D6839"/>
  </w:style>
  <w:style w:type="character" w:customStyle="1" w:styleId="eop">
    <w:name w:val="eop"/>
    <w:basedOn w:val="DefaultParagraphFont"/>
    <w:rsid w:val="002D6839"/>
  </w:style>
  <w:style w:type="character" w:customStyle="1" w:styleId="scxw203904655">
    <w:name w:val="scxw203904655"/>
    <w:basedOn w:val="DefaultParagraphFont"/>
    <w:rsid w:val="00063B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068">
      <w:bodyDiv w:val="1"/>
      <w:marLeft w:val="0"/>
      <w:marRight w:val="0"/>
      <w:marTop w:val="0"/>
      <w:marBottom w:val="0"/>
      <w:divBdr>
        <w:top w:val="none" w:sz="0" w:space="0" w:color="auto"/>
        <w:left w:val="none" w:sz="0" w:space="0" w:color="auto"/>
        <w:bottom w:val="none" w:sz="0" w:space="0" w:color="auto"/>
        <w:right w:val="none" w:sz="0" w:space="0" w:color="auto"/>
      </w:divBdr>
      <w:divsChild>
        <w:div w:id="1028604019">
          <w:marLeft w:val="0"/>
          <w:marRight w:val="0"/>
          <w:marTop w:val="0"/>
          <w:marBottom w:val="0"/>
          <w:divBdr>
            <w:top w:val="none" w:sz="0" w:space="0" w:color="auto"/>
            <w:left w:val="none" w:sz="0" w:space="0" w:color="auto"/>
            <w:bottom w:val="none" w:sz="0" w:space="0" w:color="auto"/>
            <w:right w:val="none" w:sz="0" w:space="0" w:color="auto"/>
          </w:divBdr>
          <w:divsChild>
            <w:div w:id="1817212531">
              <w:marLeft w:val="0"/>
              <w:marRight w:val="0"/>
              <w:marTop w:val="0"/>
              <w:marBottom w:val="0"/>
              <w:divBdr>
                <w:top w:val="none" w:sz="0" w:space="0" w:color="auto"/>
                <w:left w:val="none" w:sz="0" w:space="0" w:color="auto"/>
                <w:bottom w:val="none" w:sz="0" w:space="0" w:color="auto"/>
                <w:right w:val="none" w:sz="0" w:space="0" w:color="auto"/>
              </w:divBdr>
            </w:div>
          </w:divsChild>
        </w:div>
        <w:div w:id="1547988564">
          <w:marLeft w:val="0"/>
          <w:marRight w:val="0"/>
          <w:marTop w:val="0"/>
          <w:marBottom w:val="0"/>
          <w:divBdr>
            <w:top w:val="none" w:sz="0" w:space="0" w:color="auto"/>
            <w:left w:val="none" w:sz="0" w:space="0" w:color="auto"/>
            <w:bottom w:val="none" w:sz="0" w:space="0" w:color="auto"/>
            <w:right w:val="none" w:sz="0" w:space="0" w:color="auto"/>
          </w:divBdr>
          <w:divsChild>
            <w:div w:id="81336160">
              <w:marLeft w:val="0"/>
              <w:marRight w:val="0"/>
              <w:marTop w:val="0"/>
              <w:marBottom w:val="0"/>
              <w:divBdr>
                <w:top w:val="none" w:sz="0" w:space="0" w:color="auto"/>
                <w:left w:val="none" w:sz="0" w:space="0" w:color="auto"/>
                <w:bottom w:val="none" w:sz="0" w:space="0" w:color="auto"/>
                <w:right w:val="none" w:sz="0" w:space="0" w:color="auto"/>
              </w:divBdr>
            </w:div>
          </w:divsChild>
        </w:div>
        <w:div w:id="621883378">
          <w:marLeft w:val="0"/>
          <w:marRight w:val="0"/>
          <w:marTop w:val="0"/>
          <w:marBottom w:val="0"/>
          <w:divBdr>
            <w:top w:val="none" w:sz="0" w:space="0" w:color="auto"/>
            <w:left w:val="none" w:sz="0" w:space="0" w:color="auto"/>
            <w:bottom w:val="none" w:sz="0" w:space="0" w:color="auto"/>
            <w:right w:val="none" w:sz="0" w:space="0" w:color="auto"/>
          </w:divBdr>
          <w:divsChild>
            <w:div w:id="700201755">
              <w:marLeft w:val="0"/>
              <w:marRight w:val="0"/>
              <w:marTop w:val="0"/>
              <w:marBottom w:val="0"/>
              <w:divBdr>
                <w:top w:val="none" w:sz="0" w:space="0" w:color="auto"/>
                <w:left w:val="none" w:sz="0" w:space="0" w:color="auto"/>
                <w:bottom w:val="none" w:sz="0" w:space="0" w:color="auto"/>
                <w:right w:val="none" w:sz="0" w:space="0" w:color="auto"/>
              </w:divBdr>
            </w:div>
          </w:divsChild>
        </w:div>
        <w:div w:id="720251598">
          <w:marLeft w:val="0"/>
          <w:marRight w:val="0"/>
          <w:marTop w:val="0"/>
          <w:marBottom w:val="0"/>
          <w:divBdr>
            <w:top w:val="none" w:sz="0" w:space="0" w:color="auto"/>
            <w:left w:val="none" w:sz="0" w:space="0" w:color="auto"/>
            <w:bottom w:val="none" w:sz="0" w:space="0" w:color="auto"/>
            <w:right w:val="none" w:sz="0" w:space="0" w:color="auto"/>
          </w:divBdr>
          <w:divsChild>
            <w:div w:id="3217514">
              <w:marLeft w:val="0"/>
              <w:marRight w:val="0"/>
              <w:marTop w:val="0"/>
              <w:marBottom w:val="0"/>
              <w:divBdr>
                <w:top w:val="none" w:sz="0" w:space="0" w:color="auto"/>
                <w:left w:val="none" w:sz="0" w:space="0" w:color="auto"/>
                <w:bottom w:val="none" w:sz="0" w:space="0" w:color="auto"/>
                <w:right w:val="none" w:sz="0" w:space="0" w:color="auto"/>
              </w:divBdr>
            </w:div>
          </w:divsChild>
        </w:div>
        <w:div w:id="1137339303">
          <w:marLeft w:val="0"/>
          <w:marRight w:val="0"/>
          <w:marTop w:val="0"/>
          <w:marBottom w:val="0"/>
          <w:divBdr>
            <w:top w:val="none" w:sz="0" w:space="0" w:color="auto"/>
            <w:left w:val="none" w:sz="0" w:space="0" w:color="auto"/>
            <w:bottom w:val="none" w:sz="0" w:space="0" w:color="auto"/>
            <w:right w:val="none" w:sz="0" w:space="0" w:color="auto"/>
          </w:divBdr>
          <w:divsChild>
            <w:div w:id="1094399802">
              <w:marLeft w:val="0"/>
              <w:marRight w:val="0"/>
              <w:marTop w:val="0"/>
              <w:marBottom w:val="0"/>
              <w:divBdr>
                <w:top w:val="none" w:sz="0" w:space="0" w:color="auto"/>
                <w:left w:val="none" w:sz="0" w:space="0" w:color="auto"/>
                <w:bottom w:val="none" w:sz="0" w:space="0" w:color="auto"/>
                <w:right w:val="none" w:sz="0" w:space="0" w:color="auto"/>
              </w:divBdr>
            </w:div>
          </w:divsChild>
        </w:div>
        <w:div w:id="639728101">
          <w:marLeft w:val="0"/>
          <w:marRight w:val="0"/>
          <w:marTop w:val="0"/>
          <w:marBottom w:val="0"/>
          <w:divBdr>
            <w:top w:val="none" w:sz="0" w:space="0" w:color="auto"/>
            <w:left w:val="none" w:sz="0" w:space="0" w:color="auto"/>
            <w:bottom w:val="none" w:sz="0" w:space="0" w:color="auto"/>
            <w:right w:val="none" w:sz="0" w:space="0" w:color="auto"/>
          </w:divBdr>
          <w:divsChild>
            <w:div w:id="357967655">
              <w:marLeft w:val="0"/>
              <w:marRight w:val="0"/>
              <w:marTop w:val="0"/>
              <w:marBottom w:val="0"/>
              <w:divBdr>
                <w:top w:val="none" w:sz="0" w:space="0" w:color="auto"/>
                <w:left w:val="none" w:sz="0" w:space="0" w:color="auto"/>
                <w:bottom w:val="none" w:sz="0" w:space="0" w:color="auto"/>
                <w:right w:val="none" w:sz="0" w:space="0" w:color="auto"/>
              </w:divBdr>
            </w:div>
          </w:divsChild>
        </w:div>
        <w:div w:id="1857842973">
          <w:marLeft w:val="0"/>
          <w:marRight w:val="0"/>
          <w:marTop w:val="0"/>
          <w:marBottom w:val="0"/>
          <w:divBdr>
            <w:top w:val="none" w:sz="0" w:space="0" w:color="auto"/>
            <w:left w:val="none" w:sz="0" w:space="0" w:color="auto"/>
            <w:bottom w:val="none" w:sz="0" w:space="0" w:color="auto"/>
            <w:right w:val="none" w:sz="0" w:space="0" w:color="auto"/>
          </w:divBdr>
          <w:divsChild>
            <w:div w:id="1605110958">
              <w:marLeft w:val="0"/>
              <w:marRight w:val="0"/>
              <w:marTop w:val="0"/>
              <w:marBottom w:val="0"/>
              <w:divBdr>
                <w:top w:val="none" w:sz="0" w:space="0" w:color="auto"/>
                <w:left w:val="none" w:sz="0" w:space="0" w:color="auto"/>
                <w:bottom w:val="none" w:sz="0" w:space="0" w:color="auto"/>
                <w:right w:val="none" w:sz="0" w:space="0" w:color="auto"/>
              </w:divBdr>
            </w:div>
          </w:divsChild>
        </w:div>
        <w:div w:id="906261137">
          <w:marLeft w:val="0"/>
          <w:marRight w:val="0"/>
          <w:marTop w:val="0"/>
          <w:marBottom w:val="0"/>
          <w:divBdr>
            <w:top w:val="none" w:sz="0" w:space="0" w:color="auto"/>
            <w:left w:val="none" w:sz="0" w:space="0" w:color="auto"/>
            <w:bottom w:val="none" w:sz="0" w:space="0" w:color="auto"/>
            <w:right w:val="none" w:sz="0" w:space="0" w:color="auto"/>
          </w:divBdr>
          <w:divsChild>
            <w:div w:id="1562449419">
              <w:marLeft w:val="0"/>
              <w:marRight w:val="0"/>
              <w:marTop w:val="0"/>
              <w:marBottom w:val="0"/>
              <w:divBdr>
                <w:top w:val="none" w:sz="0" w:space="0" w:color="auto"/>
                <w:left w:val="none" w:sz="0" w:space="0" w:color="auto"/>
                <w:bottom w:val="none" w:sz="0" w:space="0" w:color="auto"/>
                <w:right w:val="none" w:sz="0" w:space="0" w:color="auto"/>
              </w:divBdr>
            </w:div>
          </w:divsChild>
        </w:div>
        <w:div w:id="1105492294">
          <w:marLeft w:val="0"/>
          <w:marRight w:val="0"/>
          <w:marTop w:val="0"/>
          <w:marBottom w:val="0"/>
          <w:divBdr>
            <w:top w:val="none" w:sz="0" w:space="0" w:color="auto"/>
            <w:left w:val="none" w:sz="0" w:space="0" w:color="auto"/>
            <w:bottom w:val="none" w:sz="0" w:space="0" w:color="auto"/>
            <w:right w:val="none" w:sz="0" w:space="0" w:color="auto"/>
          </w:divBdr>
          <w:divsChild>
            <w:div w:id="1420827098">
              <w:marLeft w:val="0"/>
              <w:marRight w:val="0"/>
              <w:marTop w:val="0"/>
              <w:marBottom w:val="0"/>
              <w:divBdr>
                <w:top w:val="none" w:sz="0" w:space="0" w:color="auto"/>
                <w:left w:val="none" w:sz="0" w:space="0" w:color="auto"/>
                <w:bottom w:val="none" w:sz="0" w:space="0" w:color="auto"/>
                <w:right w:val="none" w:sz="0" w:space="0" w:color="auto"/>
              </w:divBdr>
            </w:div>
          </w:divsChild>
        </w:div>
        <w:div w:id="1696998296">
          <w:marLeft w:val="0"/>
          <w:marRight w:val="0"/>
          <w:marTop w:val="0"/>
          <w:marBottom w:val="0"/>
          <w:divBdr>
            <w:top w:val="none" w:sz="0" w:space="0" w:color="auto"/>
            <w:left w:val="none" w:sz="0" w:space="0" w:color="auto"/>
            <w:bottom w:val="none" w:sz="0" w:space="0" w:color="auto"/>
            <w:right w:val="none" w:sz="0" w:space="0" w:color="auto"/>
          </w:divBdr>
          <w:divsChild>
            <w:div w:id="332951963">
              <w:marLeft w:val="0"/>
              <w:marRight w:val="0"/>
              <w:marTop w:val="0"/>
              <w:marBottom w:val="0"/>
              <w:divBdr>
                <w:top w:val="none" w:sz="0" w:space="0" w:color="auto"/>
                <w:left w:val="none" w:sz="0" w:space="0" w:color="auto"/>
                <w:bottom w:val="none" w:sz="0" w:space="0" w:color="auto"/>
                <w:right w:val="none" w:sz="0" w:space="0" w:color="auto"/>
              </w:divBdr>
            </w:div>
          </w:divsChild>
        </w:div>
        <w:div w:id="456798895">
          <w:marLeft w:val="0"/>
          <w:marRight w:val="0"/>
          <w:marTop w:val="0"/>
          <w:marBottom w:val="0"/>
          <w:divBdr>
            <w:top w:val="none" w:sz="0" w:space="0" w:color="auto"/>
            <w:left w:val="none" w:sz="0" w:space="0" w:color="auto"/>
            <w:bottom w:val="none" w:sz="0" w:space="0" w:color="auto"/>
            <w:right w:val="none" w:sz="0" w:space="0" w:color="auto"/>
          </w:divBdr>
          <w:divsChild>
            <w:div w:id="53970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2729">
      <w:bodyDiv w:val="1"/>
      <w:marLeft w:val="0"/>
      <w:marRight w:val="0"/>
      <w:marTop w:val="0"/>
      <w:marBottom w:val="0"/>
      <w:divBdr>
        <w:top w:val="none" w:sz="0" w:space="0" w:color="auto"/>
        <w:left w:val="none" w:sz="0" w:space="0" w:color="auto"/>
        <w:bottom w:val="none" w:sz="0" w:space="0" w:color="auto"/>
        <w:right w:val="none" w:sz="0" w:space="0" w:color="auto"/>
      </w:divBdr>
      <w:divsChild>
        <w:div w:id="389809563">
          <w:marLeft w:val="0"/>
          <w:marRight w:val="0"/>
          <w:marTop w:val="0"/>
          <w:marBottom w:val="0"/>
          <w:divBdr>
            <w:top w:val="none" w:sz="0" w:space="0" w:color="auto"/>
            <w:left w:val="none" w:sz="0" w:space="0" w:color="auto"/>
            <w:bottom w:val="none" w:sz="0" w:space="0" w:color="auto"/>
            <w:right w:val="none" w:sz="0" w:space="0" w:color="auto"/>
          </w:divBdr>
          <w:divsChild>
            <w:div w:id="419985393">
              <w:marLeft w:val="0"/>
              <w:marRight w:val="0"/>
              <w:marTop w:val="0"/>
              <w:marBottom w:val="0"/>
              <w:divBdr>
                <w:top w:val="none" w:sz="0" w:space="0" w:color="auto"/>
                <w:left w:val="none" w:sz="0" w:space="0" w:color="auto"/>
                <w:bottom w:val="none" w:sz="0" w:space="0" w:color="auto"/>
                <w:right w:val="none" w:sz="0" w:space="0" w:color="auto"/>
              </w:divBdr>
            </w:div>
          </w:divsChild>
        </w:div>
        <w:div w:id="1500535385">
          <w:marLeft w:val="0"/>
          <w:marRight w:val="0"/>
          <w:marTop w:val="0"/>
          <w:marBottom w:val="0"/>
          <w:divBdr>
            <w:top w:val="none" w:sz="0" w:space="0" w:color="auto"/>
            <w:left w:val="none" w:sz="0" w:space="0" w:color="auto"/>
            <w:bottom w:val="none" w:sz="0" w:space="0" w:color="auto"/>
            <w:right w:val="none" w:sz="0" w:space="0" w:color="auto"/>
          </w:divBdr>
          <w:divsChild>
            <w:div w:id="264071815">
              <w:marLeft w:val="0"/>
              <w:marRight w:val="0"/>
              <w:marTop w:val="0"/>
              <w:marBottom w:val="0"/>
              <w:divBdr>
                <w:top w:val="none" w:sz="0" w:space="0" w:color="auto"/>
                <w:left w:val="none" w:sz="0" w:space="0" w:color="auto"/>
                <w:bottom w:val="none" w:sz="0" w:space="0" w:color="auto"/>
                <w:right w:val="none" w:sz="0" w:space="0" w:color="auto"/>
              </w:divBdr>
            </w:div>
          </w:divsChild>
        </w:div>
        <w:div w:id="2027365713">
          <w:marLeft w:val="0"/>
          <w:marRight w:val="0"/>
          <w:marTop w:val="0"/>
          <w:marBottom w:val="0"/>
          <w:divBdr>
            <w:top w:val="none" w:sz="0" w:space="0" w:color="auto"/>
            <w:left w:val="none" w:sz="0" w:space="0" w:color="auto"/>
            <w:bottom w:val="none" w:sz="0" w:space="0" w:color="auto"/>
            <w:right w:val="none" w:sz="0" w:space="0" w:color="auto"/>
          </w:divBdr>
          <w:divsChild>
            <w:div w:id="421999302">
              <w:marLeft w:val="0"/>
              <w:marRight w:val="0"/>
              <w:marTop w:val="0"/>
              <w:marBottom w:val="0"/>
              <w:divBdr>
                <w:top w:val="none" w:sz="0" w:space="0" w:color="auto"/>
                <w:left w:val="none" w:sz="0" w:space="0" w:color="auto"/>
                <w:bottom w:val="none" w:sz="0" w:space="0" w:color="auto"/>
                <w:right w:val="none" w:sz="0" w:space="0" w:color="auto"/>
              </w:divBdr>
            </w:div>
          </w:divsChild>
        </w:div>
        <w:div w:id="1496802695">
          <w:marLeft w:val="0"/>
          <w:marRight w:val="0"/>
          <w:marTop w:val="0"/>
          <w:marBottom w:val="0"/>
          <w:divBdr>
            <w:top w:val="none" w:sz="0" w:space="0" w:color="auto"/>
            <w:left w:val="none" w:sz="0" w:space="0" w:color="auto"/>
            <w:bottom w:val="none" w:sz="0" w:space="0" w:color="auto"/>
            <w:right w:val="none" w:sz="0" w:space="0" w:color="auto"/>
          </w:divBdr>
          <w:divsChild>
            <w:div w:id="904994590">
              <w:marLeft w:val="0"/>
              <w:marRight w:val="0"/>
              <w:marTop w:val="0"/>
              <w:marBottom w:val="0"/>
              <w:divBdr>
                <w:top w:val="none" w:sz="0" w:space="0" w:color="auto"/>
                <w:left w:val="none" w:sz="0" w:space="0" w:color="auto"/>
                <w:bottom w:val="none" w:sz="0" w:space="0" w:color="auto"/>
                <w:right w:val="none" w:sz="0" w:space="0" w:color="auto"/>
              </w:divBdr>
            </w:div>
          </w:divsChild>
        </w:div>
        <w:div w:id="1131362334">
          <w:marLeft w:val="0"/>
          <w:marRight w:val="0"/>
          <w:marTop w:val="0"/>
          <w:marBottom w:val="0"/>
          <w:divBdr>
            <w:top w:val="none" w:sz="0" w:space="0" w:color="auto"/>
            <w:left w:val="none" w:sz="0" w:space="0" w:color="auto"/>
            <w:bottom w:val="none" w:sz="0" w:space="0" w:color="auto"/>
            <w:right w:val="none" w:sz="0" w:space="0" w:color="auto"/>
          </w:divBdr>
          <w:divsChild>
            <w:div w:id="387726692">
              <w:marLeft w:val="0"/>
              <w:marRight w:val="0"/>
              <w:marTop w:val="0"/>
              <w:marBottom w:val="0"/>
              <w:divBdr>
                <w:top w:val="none" w:sz="0" w:space="0" w:color="auto"/>
                <w:left w:val="none" w:sz="0" w:space="0" w:color="auto"/>
                <w:bottom w:val="none" w:sz="0" w:space="0" w:color="auto"/>
                <w:right w:val="none" w:sz="0" w:space="0" w:color="auto"/>
              </w:divBdr>
            </w:div>
          </w:divsChild>
        </w:div>
        <w:div w:id="620696256">
          <w:marLeft w:val="0"/>
          <w:marRight w:val="0"/>
          <w:marTop w:val="0"/>
          <w:marBottom w:val="0"/>
          <w:divBdr>
            <w:top w:val="none" w:sz="0" w:space="0" w:color="auto"/>
            <w:left w:val="none" w:sz="0" w:space="0" w:color="auto"/>
            <w:bottom w:val="none" w:sz="0" w:space="0" w:color="auto"/>
            <w:right w:val="none" w:sz="0" w:space="0" w:color="auto"/>
          </w:divBdr>
          <w:divsChild>
            <w:div w:id="1928727564">
              <w:marLeft w:val="0"/>
              <w:marRight w:val="0"/>
              <w:marTop w:val="0"/>
              <w:marBottom w:val="0"/>
              <w:divBdr>
                <w:top w:val="none" w:sz="0" w:space="0" w:color="auto"/>
                <w:left w:val="none" w:sz="0" w:space="0" w:color="auto"/>
                <w:bottom w:val="none" w:sz="0" w:space="0" w:color="auto"/>
                <w:right w:val="none" w:sz="0" w:space="0" w:color="auto"/>
              </w:divBdr>
            </w:div>
          </w:divsChild>
        </w:div>
        <w:div w:id="614100490">
          <w:marLeft w:val="0"/>
          <w:marRight w:val="0"/>
          <w:marTop w:val="0"/>
          <w:marBottom w:val="0"/>
          <w:divBdr>
            <w:top w:val="none" w:sz="0" w:space="0" w:color="auto"/>
            <w:left w:val="none" w:sz="0" w:space="0" w:color="auto"/>
            <w:bottom w:val="none" w:sz="0" w:space="0" w:color="auto"/>
            <w:right w:val="none" w:sz="0" w:space="0" w:color="auto"/>
          </w:divBdr>
          <w:divsChild>
            <w:div w:id="1267277250">
              <w:marLeft w:val="0"/>
              <w:marRight w:val="0"/>
              <w:marTop w:val="0"/>
              <w:marBottom w:val="0"/>
              <w:divBdr>
                <w:top w:val="none" w:sz="0" w:space="0" w:color="auto"/>
                <w:left w:val="none" w:sz="0" w:space="0" w:color="auto"/>
                <w:bottom w:val="none" w:sz="0" w:space="0" w:color="auto"/>
                <w:right w:val="none" w:sz="0" w:space="0" w:color="auto"/>
              </w:divBdr>
            </w:div>
          </w:divsChild>
        </w:div>
        <w:div w:id="998584393">
          <w:marLeft w:val="0"/>
          <w:marRight w:val="0"/>
          <w:marTop w:val="0"/>
          <w:marBottom w:val="0"/>
          <w:divBdr>
            <w:top w:val="none" w:sz="0" w:space="0" w:color="auto"/>
            <w:left w:val="none" w:sz="0" w:space="0" w:color="auto"/>
            <w:bottom w:val="none" w:sz="0" w:space="0" w:color="auto"/>
            <w:right w:val="none" w:sz="0" w:space="0" w:color="auto"/>
          </w:divBdr>
          <w:divsChild>
            <w:div w:id="774636209">
              <w:marLeft w:val="0"/>
              <w:marRight w:val="0"/>
              <w:marTop w:val="0"/>
              <w:marBottom w:val="0"/>
              <w:divBdr>
                <w:top w:val="none" w:sz="0" w:space="0" w:color="auto"/>
                <w:left w:val="none" w:sz="0" w:space="0" w:color="auto"/>
                <w:bottom w:val="none" w:sz="0" w:space="0" w:color="auto"/>
                <w:right w:val="none" w:sz="0" w:space="0" w:color="auto"/>
              </w:divBdr>
            </w:div>
          </w:divsChild>
        </w:div>
        <w:div w:id="1382168638">
          <w:marLeft w:val="0"/>
          <w:marRight w:val="0"/>
          <w:marTop w:val="0"/>
          <w:marBottom w:val="0"/>
          <w:divBdr>
            <w:top w:val="none" w:sz="0" w:space="0" w:color="auto"/>
            <w:left w:val="none" w:sz="0" w:space="0" w:color="auto"/>
            <w:bottom w:val="none" w:sz="0" w:space="0" w:color="auto"/>
            <w:right w:val="none" w:sz="0" w:space="0" w:color="auto"/>
          </w:divBdr>
          <w:divsChild>
            <w:div w:id="1820803659">
              <w:marLeft w:val="0"/>
              <w:marRight w:val="0"/>
              <w:marTop w:val="0"/>
              <w:marBottom w:val="0"/>
              <w:divBdr>
                <w:top w:val="none" w:sz="0" w:space="0" w:color="auto"/>
                <w:left w:val="none" w:sz="0" w:space="0" w:color="auto"/>
                <w:bottom w:val="none" w:sz="0" w:space="0" w:color="auto"/>
                <w:right w:val="none" w:sz="0" w:space="0" w:color="auto"/>
              </w:divBdr>
            </w:div>
          </w:divsChild>
        </w:div>
        <w:div w:id="199249815">
          <w:marLeft w:val="0"/>
          <w:marRight w:val="0"/>
          <w:marTop w:val="0"/>
          <w:marBottom w:val="0"/>
          <w:divBdr>
            <w:top w:val="none" w:sz="0" w:space="0" w:color="auto"/>
            <w:left w:val="none" w:sz="0" w:space="0" w:color="auto"/>
            <w:bottom w:val="none" w:sz="0" w:space="0" w:color="auto"/>
            <w:right w:val="none" w:sz="0" w:space="0" w:color="auto"/>
          </w:divBdr>
          <w:divsChild>
            <w:div w:id="736827227">
              <w:marLeft w:val="0"/>
              <w:marRight w:val="0"/>
              <w:marTop w:val="0"/>
              <w:marBottom w:val="0"/>
              <w:divBdr>
                <w:top w:val="none" w:sz="0" w:space="0" w:color="auto"/>
                <w:left w:val="none" w:sz="0" w:space="0" w:color="auto"/>
                <w:bottom w:val="none" w:sz="0" w:space="0" w:color="auto"/>
                <w:right w:val="none" w:sz="0" w:space="0" w:color="auto"/>
              </w:divBdr>
            </w:div>
          </w:divsChild>
        </w:div>
        <w:div w:id="1464886671">
          <w:marLeft w:val="0"/>
          <w:marRight w:val="0"/>
          <w:marTop w:val="0"/>
          <w:marBottom w:val="0"/>
          <w:divBdr>
            <w:top w:val="none" w:sz="0" w:space="0" w:color="auto"/>
            <w:left w:val="none" w:sz="0" w:space="0" w:color="auto"/>
            <w:bottom w:val="none" w:sz="0" w:space="0" w:color="auto"/>
            <w:right w:val="none" w:sz="0" w:space="0" w:color="auto"/>
          </w:divBdr>
          <w:divsChild>
            <w:div w:id="164050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15601">
      <w:bodyDiv w:val="1"/>
      <w:marLeft w:val="0"/>
      <w:marRight w:val="0"/>
      <w:marTop w:val="0"/>
      <w:marBottom w:val="0"/>
      <w:divBdr>
        <w:top w:val="none" w:sz="0" w:space="0" w:color="auto"/>
        <w:left w:val="none" w:sz="0" w:space="0" w:color="auto"/>
        <w:bottom w:val="none" w:sz="0" w:space="0" w:color="auto"/>
        <w:right w:val="none" w:sz="0" w:space="0" w:color="auto"/>
      </w:divBdr>
    </w:div>
    <w:div w:id="1170832394">
      <w:bodyDiv w:val="1"/>
      <w:marLeft w:val="0"/>
      <w:marRight w:val="0"/>
      <w:marTop w:val="0"/>
      <w:marBottom w:val="0"/>
      <w:divBdr>
        <w:top w:val="none" w:sz="0" w:space="0" w:color="auto"/>
        <w:left w:val="none" w:sz="0" w:space="0" w:color="auto"/>
        <w:bottom w:val="none" w:sz="0" w:space="0" w:color="auto"/>
        <w:right w:val="none" w:sz="0" w:space="0" w:color="auto"/>
      </w:divBdr>
      <w:divsChild>
        <w:div w:id="62218278">
          <w:marLeft w:val="0"/>
          <w:marRight w:val="0"/>
          <w:marTop w:val="0"/>
          <w:marBottom w:val="0"/>
          <w:divBdr>
            <w:top w:val="none" w:sz="0" w:space="0" w:color="auto"/>
            <w:left w:val="none" w:sz="0" w:space="0" w:color="auto"/>
            <w:bottom w:val="none" w:sz="0" w:space="0" w:color="auto"/>
            <w:right w:val="none" w:sz="0" w:space="0" w:color="auto"/>
          </w:divBdr>
        </w:div>
        <w:div w:id="467164102">
          <w:marLeft w:val="0"/>
          <w:marRight w:val="0"/>
          <w:marTop w:val="0"/>
          <w:marBottom w:val="0"/>
          <w:divBdr>
            <w:top w:val="none" w:sz="0" w:space="0" w:color="auto"/>
            <w:left w:val="none" w:sz="0" w:space="0" w:color="auto"/>
            <w:bottom w:val="none" w:sz="0" w:space="0" w:color="auto"/>
            <w:right w:val="none" w:sz="0" w:space="0" w:color="auto"/>
          </w:divBdr>
          <w:divsChild>
            <w:div w:id="1021586022">
              <w:marLeft w:val="-75"/>
              <w:marRight w:val="0"/>
              <w:marTop w:val="30"/>
              <w:marBottom w:val="30"/>
              <w:divBdr>
                <w:top w:val="none" w:sz="0" w:space="0" w:color="auto"/>
                <w:left w:val="none" w:sz="0" w:space="0" w:color="auto"/>
                <w:bottom w:val="none" w:sz="0" w:space="0" w:color="auto"/>
                <w:right w:val="none" w:sz="0" w:space="0" w:color="auto"/>
              </w:divBdr>
              <w:divsChild>
                <w:div w:id="2040930684">
                  <w:marLeft w:val="0"/>
                  <w:marRight w:val="0"/>
                  <w:marTop w:val="0"/>
                  <w:marBottom w:val="0"/>
                  <w:divBdr>
                    <w:top w:val="none" w:sz="0" w:space="0" w:color="auto"/>
                    <w:left w:val="none" w:sz="0" w:space="0" w:color="auto"/>
                    <w:bottom w:val="none" w:sz="0" w:space="0" w:color="auto"/>
                    <w:right w:val="none" w:sz="0" w:space="0" w:color="auto"/>
                  </w:divBdr>
                  <w:divsChild>
                    <w:div w:id="1162817322">
                      <w:marLeft w:val="0"/>
                      <w:marRight w:val="0"/>
                      <w:marTop w:val="0"/>
                      <w:marBottom w:val="0"/>
                      <w:divBdr>
                        <w:top w:val="none" w:sz="0" w:space="0" w:color="auto"/>
                        <w:left w:val="none" w:sz="0" w:space="0" w:color="auto"/>
                        <w:bottom w:val="none" w:sz="0" w:space="0" w:color="auto"/>
                        <w:right w:val="none" w:sz="0" w:space="0" w:color="auto"/>
                      </w:divBdr>
                    </w:div>
                  </w:divsChild>
                </w:div>
                <w:div w:id="1166046652">
                  <w:marLeft w:val="0"/>
                  <w:marRight w:val="0"/>
                  <w:marTop w:val="0"/>
                  <w:marBottom w:val="0"/>
                  <w:divBdr>
                    <w:top w:val="none" w:sz="0" w:space="0" w:color="auto"/>
                    <w:left w:val="none" w:sz="0" w:space="0" w:color="auto"/>
                    <w:bottom w:val="none" w:sz="0" w:space="0" w:color="auto"/>
                    <w:right w:val="none" w:sz="0" w:space="0" w:color="auto"/>
                  </w:divBdr>
                  <w:divsChild>
                    <w:div w:id="831214186">
                      <w:marLeft w:val="0"/>
                      <w:marRight w:val="0"/>
                      <w:marTop w:val="0"/>
                      <w:marBottom w:val="0"/>
                      <w:divBdr>
                        <w:top w:val="none" w:sz="0" w:space="0" w:color="auto"/>
                        <w:left w:val="none" w:sz="0" w:space="0" w:color="auto"/>
                        <w:bottom w:val="none" w:sz="0" w:space="0" w:color="auto"/>
                        <w:right w:val="none" w:sz="0" w:space="0" w:color="auto"/>
                      </w:divBdr>
                    </w:div>
                  </w:divsChild>
                </w:div>
                <w:div w:id="1564872797">
                  <w:marLeft w:val="0"/>
                  <w:marRight w:val="0"/>
                  <w:marTop w:val="0"/>
                  <w:marBottom w:val="0"/>
                  <w:divBdr>
                    <w:top w:val="none" w:sz="0" w:space="0" w:color="auto"/>
                    <w:left w:val="none" w:sz="0" w:space="0" w:color="auto"/>
                    <w:bottom w:val="none" w:sz="0" w:space="0" w:color="auto"/>
                    <w:right w:val="none" w:sz="0" w:space="0" w:color="auto"/>
                  </w:divBdr>
                  <w:divsChild>
                    <w:div w:id="1367827609">
                      <w:marLeft w:val="0"/>
                      <w:marRight w:val="0"/>
                      <w:marTop w:val="0"/>
                      <w:marBottom w:val="0"/>
                      <w:divBdr>
                        <w:top w:val="none" w:sz="0" w:space="0" w:color="auto"/>
                        <w:left w:val="none" w:sz="0" w:space="0" w:color="auto"/>
                        <w:bottom w:val="none" w:sz="0" w:space="0" w:color="auto"/>
                        <w:right w:val="none" w:sz="0" w:space="0" w:color="auto"/>
                      </w:divBdr>
                    </w:div>
                  </w:divsChild>
                </w:div>
                <w:div w:id="832600858">
                  <w:marLeft w:val="0"/>
                  <w:marRight w:val="0"/>
                  <w:marTop w:val="0"/>
                  <w:marBottom w:val="0"/>
                  <w:divBdr>
                    <w:top w:val="none" w:sz="0" w:space="0" w:color="auto"/>
                    <w:left w:val="none" w:sz="0" w:space="0" w:color="auto"/>
                    <w:bottom w:val="none" w:sz="0" w:space="0" w:color="auto"/>
                    <w:right w:val="none" w:sz="0" w:space="0" w:color="auto"/>
                  </w:divBdr>
                  <w:divsChild>
                    <w:div w:id="1244221604">
                      <w:marLeft w:val="0"/>
                      <w:marRight w:val="0"/>
                      <w:marTop w:val="0"/>
                      <w:marBottom w:val="0"/>
                      <w:divBdr>
                        <w:top w:val="none" w:sz="0" w:space="0" w:color="auto"/>
                        <w:left w:val="none" w:sz="0" w:space="0" w:color="auto"/>
                        <w:bottom w:val="none" w:sz="0" w:space="0" w:color="auto"/>
                        <w:right w:val="none" w:sz="0" w:space="0" w:color="auto"/>
                      </w:divBdr>
                    </w:div>
                  </w:divsChild>
                </w:div>
                <w:div w:id="1391272105">
                  <w:marLeft w:val="0"/>
                  <w:marRight w:val="0"/>
                  <w:marTop w:val="0"/>
                  <w:marBottom w:val="0"/>
                  <w:divBdr>
                    <w:top w:val="none" w:sz="0" w:space="0" w:color="auto"/>
                    <w:left w:val="none" w:sz="0" w:space="0" w:color="auto"/>
                    <w:bottom w:val="none" w:sz="0" w:space="0" w:color="auto"/>
                    <w:right w:val="none" w:sz="0" w:space="0" w:color="auto"/>
                  </w:divBdr>
                  <w:divsChild>
                    <w:div w:id="1411271077">
                      <w:marLeft w:val="0"/>
                      <w:marRight w:val="0"/>
                      <w:marTop w:val="0"/>
                      <w:marBottom w:val="0"/>
                      <w:divBdr>
                        <w:top w:val="none" w:sz="0" w:space="0" w:color="auto"/>
                        <w:left w:val="none" w:sz="0" w:space="0" w:color="auto"/>
                        <w:bottom w:val="none" w:sz="0" w:space="0" w:color="auto"/>
                        <w:right w:val="none" w:sz="0" w:space="0" w:color="auto"/>
                      </w:divBdr>
                    </w:div>
                  </w:divsChild>
                </w:div>
                <w:div w:id="1890259481">
                  <w:marLeft w:val="0"/>
                  <w:marRight w:val="0"/>
                  <w:marTop w:val="0"/>
                  <w:marBottom w:val="0"/>
                  <w:divBdr>
                    <w:top w:val="none" w:sz="0" w:space="0" w:color="auto"/>
                    <w:left w:val="none" w:sz="0" w:space="0" w:color="auto"/>
                    <w:bottom w:val="none" w:sz="0" w:space="0" w:color="auto"/>
                    <w:right w:val="none" w:sz="0" w:space="0" w:color="auto"/>
                  </w:divBdr>
                  <w:divsChild>
                    <w:div w:id="2110390962">
                      <w:marLeft w:val="0"/>
                      <w:marRight w:val="0"/>
                      <w:marTop w:val="0"/>
                      <w:marBottom w:val="0"/>
                      <w:divBdr>
                        <w:top w:val="none" w:sz="0" w:space="0" w:color="auto"/>
                        <w:left w:val="none" w:sz="0" w:space="0" w:color="auto"/>
                        <w:bottom w:val="none" w:sz="0" w:space="0" w:color="auto"/>
                        <w:right w:val="none" w:sz="0" w:space="0" w:color="auto"/>
                      </w:divBdr>
                    </w:div>
                  </w:divsChild>
                </w:div>
                <w:div w:id="2105149523">
                  <w:marLeft w:val="0"/>
                  <w:marRight w:val="0"/>
                  <w:marTop w:val="0"/>
                  <w:marBottom w:val="0"/>
                  <w:divBdr>
                    <w:top w:val="none" w:sz="0" w:space="0" w:color="auto"/>
                    <w:left w:val="none" w:sz="0" w:space="0" w:color="auto"/>
                    <w:bottom w:val="none" w:sz="0" w:space="0" w:color="auto"/>
                    <w:right w:val="none" w:sz="0" w:space="0" w:color="auto"/>
                  </w:divBdr>
                  <w:divsChild>
                    <w:div w:id="1425803178">
                      <w:marLeft w:val="0"/>
                      <w:marRight w:val="0"/>
                      <w:marTop w:val="0"/>
                      <w:marBottom w:val="0"/>
                      <w:divBdr>
                        <w:top w:val="none" w:sz="0" w:space="0" w:color="auto"/>
                        <w:left w:val="none" w:sz="0" w:space="0" w:color="auto"/>
                        <w:bottom w:val="none" w:sz="0" w:space="0" w:color="auto"/>
                        <w:right w:val="none" w:sz="0" w:space="0" w:color="auto"/>
                      </w:divBdr>
                    </w:div>
                  </w:divsChild>
                </w:div>
                <w:div w:id="817570994">
                  <w:marLeft w:val="0"/>
                  <w:marRight w:val="0"/>
                  <w:marTop w:val="0"/>
                  <w:marBottom w:val="0"/>
                  <w:divBdr>
                    <w:top w:val="none" w:sz="0" w:space="0" w:color="auto"/>
                    <w:left w:val="none" w:sz="0" w:space="0" w:color="auto"/>
                    <w:bottom w:val="none" w:sz="0" w:space="0" w:color="auto"/>
                    <w:right w:val="none" w:sz="0" w:space="0" w:color="auto"/>
                  </w:divBdr>
                  <w:divsChild>
                    <w:div w:id="141042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923697">
          <w:marLeft w:val="0"/>
          <w:marRight w:val="0"/>
          <w:marTop w:val="0"/>
          <w:marBottom w:val="0"/>
          <w:divBdr>
            <w:top w:val="none" w:sz="0" w:space="0" w:color="auto"/>
            <w:left w:val="none" w:sz="0" w:space="0" w:color="auto"/>
            <w:bottom w:val="none" w:sz="0" w:space="0" w:color="auto"/>
            <w:right w:val="none" w:sz="0" w:space="0" w:color="auto"/>
          </w:divBdr>
        </w:div>
        <w:div w:id="1503350048">
          <w:marLeft w:val="0"/>
          <w:marRight w:val="0"/>
          <w:marTop w:val="0"/>
          <w:marBottom w:val="0"/>
          <w:divBdr>
            <w:top w:val="none" w:sz="0" w:space="0" w:color="auto"/>
            <w:left w:val="none" w:sz="0" w:space="0" w:color="auto"/>
            <w:bottom w:val="none" w:sz="0" w:space="0" w:color="auto"/>
            <w:right w:val="none" w:sz="0" w:space="0" w:color="auto"/>
          </w:divBdr>
          <w:divsChild>
            <w:div w:id="1173380071">
              <w:marLeft w:val="-75"/>
              <w:marRight w:val="0"/>
              <w:marTop w:val="30"/>
              <w:marBottom w:val="30"/>
              <w:divBdr>
                <w:top w:val="none" w:sz="0" w:space="0" w:color="auto"/>
                <w:left w:val="none" w:sz="0" w:space="0" w:color="auto"/>
                <w:bottom w:val="none" w:sz="0" w:space="0" w:color="auto"/>
                <w:right w:val="none" w:sz="0" w:space="0" w:color="auto"/>
              </w:divBdr>
              <w:divsChild>
                <w:div w:id="256444851">
                  <w:marLeft w:val="0"/>
                  <w:marRight w:val="0"/>
                  <w:marTop w:val="0"/>
                  <w:marBottom w:val="0"/>
                  <w:divBdr>
                    <w:top w:val="none" w:sz="0" w:space="0" w:color="auto"/>
                    <w:left w:val="none" w:sz="0" w:space="0" w:color="auto"/>
                    <w:bottom w:val="none" w:sz="0" w:space="0" w:color="auto"/>
                    <w:right w:val="none" w:sz="0" w:space="0" w:color="auto"/>
                  </w:divBdr>
                  <w:divsChild>
                    <w:div w:id="1901403418">
                      <w:marLeft w:val="0"/>
                      <w:marRight w:val="0"/>
                      <w:marTop w:val="0"/>
                      <w:marBottom w:val="0"/>
                      <w:divBdr>
                        <w:top w:val="none" w:sz="0" w:space="0" w:color="auto"/>
                        <w:left w:val="none" w:sz="0" w:space="0" w:color="auto"/>
                        <w:bottom w:val="none" w:sz="0" w:space="0" w:color="auto"/>
                        <w:right w:val="none" w:sz="0" w:space="0" w:color="auto"/>
                      </w:divBdr>
                    </w:div>
                  </w:divsChild>
                </w:div>
                <w:div w:id="1565218972">
                  <w:marLeft w:val="0"/>
                  <w:marRight w:val="0"/>
                  <w:marTop w:val="0"/>
                  <w:marBottom w:val="0"/>
                  <w:divBdr>
                    <w:top w:val="none" w:sz="0" w:space="0" w:color="auto"/>
                    <w:left w:val="none" w:sz="0" w:space="0" w:color="auto"/>
                    <w:bottom w:val="none" w:sz="0" w:space="0" w:color="auto"/>
                    <w:right w:val="none" w:sz="0" w:space="0" w:color="auto"/>
                  </w:divBdr>
                  <w:divsChild>
                    <w:div w:id="494691134">
                      <w:marLeft w:val="0"/>
                      <w:marRight w:val="0"/>
                      <w:marTop w:val="0"/>
                      <w:marBottom w:val="0"/>
                      <w:divBdr>
                        <w:top w:val="none" w:sz="0" w:space="0" w:color="auto"/>
                        <w:left w:val="none" w:sz="0" w:space="0" w:color="auto"/>
                        <w:bottom w:val="none" w:sz="0" w:space="0" w:color="auto"/>
                        <w:right w:val="none" w:sz="0" w:space="0" w:color="auto"/>
                      </w:divBdr>
                    </w:div>
                  </w:divsChild>
                </w:div>
                <w:div w:id="1246186759">
                  <w:marLeft w:val="0"/>
                  <w:marRight w:val="0"/>
                  <w:marTop w:val="0"/>
                  <w:marBottom w:val="0"/>
                  <w:divBdr>
                    <w:top w:val="none" w:sz="0" w:space="0" w:color="auto"/>
                    <w:left w:val="none" w:sz="0" w:space="0" w:color="auto"/>
                    <w:bottom w:val="none" w:sz="0" w:space="0" w:color="auto"/>
                    <w:right w:val="none" w:sz="0" w:space="0" w:color="auto"/>
                  </w:divBdr>
                  <w:divsChild>
                    <w:div w:id="2128812776">
                      <w:marLeft w:val="0"/>
                      <w:marRight w:val="0"/>
                      <w:marTop w:val="0"/>
                      <w:marBottom w:val="0"/>
                      <w:divBdr>
                        <w:top w:val="none" w:sz="0" w:space="0" w:color="auto"/>
                        <w:left w:val="none" w:sz="0" w:space="0" w:color="auto"/>
                        <w:bottom w:val="none" w:sz="0" w:space="0" w:color="auto"/>
                        <w:right w:val="none" w:sz="0" w:space="0" w:color="auto"/>
                      </w:divBdr>
                    </w:div>
                  </w:divsChild>
                </w:div>
                <w:div w:id="598828294">
                  <w:marLeft w:val="0"/>
                  <w:marRight w:val="0"/>
                  <w:marTop w:val="0"/>
                  <w:marBottom w:val="0"/>
                  <w:divBdr>
                    <w:top w:val="none" w:sz="0" w:space="0" w:color="auto"/>
                    <w:left w:val="none" w:sz="0" w:space="0" w:color="auto"/>
                    <w:bottom w:val="none" w:sz="0" w:space="0" w:color="auto"/>
                    <w:right w:val="none" w:sz="0" w:space="0" w:color="auto"/>
                  </w:divBdr>
                  <w:divsChild>
                    <w:div w:id="400448799">
                      <w:marLeft w:val="0"/>
                      <w:marRight w:val="0"/>
                      <w:marTop w:val="0"/>
                      <w:marBottom w:val="0"/>
                      <w:divBdr>
                        <w:top w:val="none" w:sz="0" w:space="0" w:color="auto"/>
                        <w:left w:val="none" w:sz="0" w:space="0" w:color="auto"/>
                        <w:bottom w:val="none" w:sz="0" w:space="0" w:color="auto"/>
                        <w:right w:val="none" w:sz="0" w:space="0" w:color="auto"/>
                      </w:divBdr>
                    </w:div>
                  </w:divsChild>
                </w:div>
                <w:div w:id="826089167">
                  <w:marLeft w:val="0"/>
                  <w:marRight w:val="0"/>
                  <w:marTop w:val="0"/>
                  <w:marBottom w:val="0"/>
                  <w:divBdr>
                    <w:top w:val="none" w:sz="0" w:space="0" w:color="auto"/>
                    <w:left w:val="none" w:sz="0" w:space="0" w:color="auto"/>
                    <w:bottom w:val="none" w:sz="0" w:space="0" w:color="auto"/>
                    <w:right w:val="none" w:sz="0" w:space="0" w:color="auto"/>
                  </w:divBdr>
                  <w:divsChild>
                    <w:div w:id="776023268">
                      <w:marLeft w:val="0"/>
                      <w:marRight w:val="0"/>
                      <w:marTop w:val="0"/>
                      <w:marBottom w:val="0"/>
                      <w:divBdr>
                        <w:top w:val="none" w:sz="0" w:space="0" w:color="auto"/>
                        <w:left w:val="none" w:sz="0" w:space="0" w:color="auto"/>
                        <w:bottom w:val="none" w:sz="0" w:space="0" w:color="auto"/>
                        <w:right w:val="none" w:sz="0" w:space="0" w:color="auto"/>
                      </w:divBdr>
                    </w:div>
                  </w:divsChild>
                </w:div>
                <w:div w:id="1045253716">
                  <w:marLeft w:val="0"/>
                  <w:marRight w:val="0"/>
                  <w:marTop w:val="0"/>
                  <w:marBottom w:val="0"/>
                  <w:divBdr>
                    <w:top w:val="none" w:sz="0" w:space="0" w:color="auto"/>
                    <w:left w:val="none" w:sz="0" w:space="0" w:color="auto"/>
                    <w:bottom w:val="none" w:sz="0" w:space="0" w:color="auto"/>
                    <w:right w:val="none" w:sz="0" w:space="0" w:color="auto"/>
                  </w:divBdr>
                  <w:divsChild>
                    <w:div w:id="1940946871">
                      <w:marLeft w:val="0"/>
                      <w:marRight w:val="0"/>
                      <w:marTop w:val="0"/>
                      <w:marBottom w:val="0"/>
                      <w:divBdr>
                        <w:top w:val="none" w:sz="0" w:space="0" w:color="auto"/>
                        <w:left w:val="none" w:sz="0" w:space="0" w:color="auto"/>
                        <w:bottom w:val="none" w:sz="0" w:space="0" w:color="auto"/>
                        <w:right w:val="none" w:sz="0" w:space="0" w:color="auto"/>
                      </w:divBdr>
                    </w:div>
                  </w:divsChild>
                </w:div>
                <w:div w:id="1230111553">
                  <w:marLeft w:val="0"/>
                  <w:marRight w:val="0"/>
                  <w:marTop w:val="0"/>
                  <w:marBottom w:val="0"/>
                  <w:divBdr>
                    <w:top w:val="none" w:sz="0" w:space="0" w:color="auto"/>
                    <w:left w:val="none" w:sz="0" w:space="0" w:color="auto"/>
                    <w:bottom w:val="none" w:sz="0" w:space="0" w:color="auto"/>
                    <w:right w:val="none" w:sz="0" w:space="0" w:color="auto"/>
                  </w:divBdr>
                  <w:divsChild>
                    <w:div w:id="295839351">
                      <w:marLeft w:val="0"/>
                      <w:marRight w:val="0"/>
                      <w:marTop w:val="0"/>
                      <w:marBottom w:val="0"/>
                      <w:divBdr>
                        <w:top w:val="none" w:sz="0" w:space="0" w:color="auto"/>
                        <w:left w:val="none" w:sz="0" w:space="0" w:color="auto"/>
                        <w:bottom w:val="none" w:sz="0" w:space="0" w:color="auto"/>
                        <w:right w:val="none" w:sz="0" w:space="0" w:color="auto"/>
                      </w:divBdr>
                    </w:div>
                  </w:divsChild>
                </w:div>
                <w:div w:id="1479880633">
                  <w:marLeft w:val="0"/>
                  <w:marRight w:val="0"/>
                  <w:marTop w:val="0"/>
                  <w:marBottom w:val="0"/>
                  <w:divBdr>
                    <w:top w:val="none" w:sz="0" w:space="0" w:color="auto"/>
                    <w:left w:val="none" w:sz="0" w:space="0" w:color="auto"/>
                    <w:bottom w:val="none" w:sz="0" w:space="0" w:color="auto"/>
                    <w:right w:val="none" w:sz="0" w:space="0" w:color="auto"/>
                  </w:divBdr>
                  <w:divsChild>
                    <w:div w:id="134678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130239">
          <w:marLeft w:val="0"/>
          <w:marRight w:val="0"/>
          <w:marTop w:val="0"/>
          <w:marBottom w:val="0"/>
          <w:divBdr>
            <w:top w:val="none" w:sz="0" w:space="0" w:color="auto"/>
            <w:left w:val="none" w:sz="0" w:space="0" w:color="auto"/>
            <w:bottom w:val="none" w:sz="0" w:space="0" w:color="auto"/>
            <w:right w:val="none" w:sz="0" w:space="0" w:color="auto"/>
          </w:divBdr>
        </w:div>
        <w:div w:id="1317413032">
          <w:marLeft w:val="0"/>
          <w:marRight w:val="0"/>
          <w:marTop w:val="0"/>
          <w:marBottom w:val="0"/>
          <w:divBdr>
            <w:top w:val="none" w:sz="0" w:space="0" w:color="auto"/>
            <w:left w:val="none" w:sz="0" w:space="0" w:color="auto"/>
            <w:bottom w:val="none" w:sz="0" w:space="0" w:color="auto"/>
            <w:right w:val="none" w:sz="0" w:space="0" w:color="auto"/>
          </w:divBdr>
          <w:divsChild>
            <w:div w:id="2089879588">
              <w:marLeft w:val="-75"/>
              <w:marRight w:val="0"/>
              <w:marTop w:val="30"/>
              <w:marBottom w:val="30"/>
              <w:divBdr>
                <w:top w:val="none" w:sz="0" w:space="0" w:color="auto"/>
                <w:left w:val="none" w:sz="0" w:space="0" w:color="auto"/>
                <w:bottom w:val="none" w:sz="0" w:space="0" w:color="auto"/>
                <w:right w:val="none" w:sz="0" w:space="0" w:color="auto"/>
              </w:divBdr>
              <w:divsChild>
                <w:div w:id="49113068">
                  <w:marLeft w:val="0"/>
                  <w:marRight w:val="0"/>
                  <w:marTop w:val="0"/>
                  <w:marBottom w:val="0"/>
                  <w:divBdr>
                    <w:top w:val="none" w:sz="0" w:space="0" w:color="auto"/>
                    <w:left w:val="none" w:sz="0" w:space="0" w:color="auto"/>
                    <w:bottom w:val="none" w:sz="0" w:space="0" w:color="auto"/>
                    <w:right w:val="none" w:sz="0" w:space="0" w:color="auto"/>
                  </w:divBdr>
                  <w:divsChild>
                    <w:div w:id="48386778">
                      <w:marLeft w:val="0"/>
                      <w:marRight w:val="0"/>
                      <w:marTop w:val="0"/>
                      <w:marBottom w:val="0"/>
                      <w:divBdr>
                        <w:top w:val="none" w:sz="0" w:space="0" w:color="auto"/>
                        <w:left w:val="none" w:sz="0" w:space="0" w:color="auto"/>
                        <w:bottom w:val="none" w:sz="0" w:space="0" w:color="auto"/>
                        <w:right w:val="none" w:sz="0" w:space="0" w:color="auto"/>
                      </w:divBdr>
                    </w:div>
                  </w:divsChild>
                </w:div>
                <w:div w:id="768893959">
                  <w:marLeft w:val="0"/>
                  <w:marRight w:val="0"/>
                  <w:marTop w:val="0"/>
                  <w:marBottom w:val="0"/>
                  <w:divBdr>
                    <w:top w:val="none" w:sz="0" w:space="0" w:color="auto"/>
                    <w:left w:val="none" w:sz="0" w:space="0" w:color="auto"/>
                    <w:bottom w:val="none" w:sz="0" w:space="0" w:color="auto"/>
                    <w:right w:val="none" w:sz="0" w:space="0" w:color="auto"/>
                  </w:divBdr>
                  <w:divsChild>
                    <w:div w:id="1952124503">
                      <w:marLeft w:val="0"/>
                      <w:marRight w:val="0"/>
                      <w:marTop w:val="0"/>
                      <w:marBottom w:val="0"/>
                      <w:divBdr>
                        <w:top w:val="none" w:sz="0" w:space="0" w:color="auto"/>
                        <w:left w:val="none" w:sz="0" w:space="0" w:color="auto"/>
                        <w:bottom w:val="none" w:sz="0" w:space="0" w:color="auto"/>
                        <w:right w:val="none" w:sz="0" w:space="0" w:color="auto"/>
                      </w:divBdr>
                    </w:div>
                  </w:divsChild>
                </w:div>
                <w:div w:id="1103956020">
                  <w:marLeft w:val="0"/>
                  <w:marRight w:val="0"/>
                  <w:marTop w:val="0"/>
                  <w:marBottom w:val="0"/>
                  <w:divBdr>
                    <w:top w:val="none" w:sz="0" w:space="0" w:color="auto"/>
                    <w:left w:val="none" w:sz="0" w:space="0" w:color="auto"/>
                    <w:bottom w:val="none" w:sz="0" w:space="0" w:color="auto"/>
                    <w:right w:val="none" w:sz="0" w:space="0" w:color="auto"/>
                  </w:divBdr>
                  <w:divsChild>
                    <w:div w:id="150413139">
                      <w:marLeft w:val="0"/>
                      <w:marRight w:val="0"/>
                      <w:marTop w:val="0"/>
                      <w:marBottom w:val="0"/>
                      <w:divBdr>
                        <w:top w:val="none" w:sz="0" w:space="0" w:color="auto"/>
                        <w:left w:val="none" w:sz="0" w:space="0" w:color="auto"/>
                        <w:bottom w:val="none" w:sz="0" w:space="0" w:color="auto"/>
                        <w:right w:val="none" w:sz="0" w:space="0" w:color="auto"/>
                      </w:divBdr>
                    </w:div>
                  </w:divsChild>
                </w:div>
                <w:div w:id="1280531509">
                  <w:marLeft w:val="0"/>
                  <w:marRight w:val="0"/>
                  <w:marTop w:val="0"/>
                  <w:marBottom w:val="0"/>
                  <w:divBdr>
                    <w:top w:val="none" w:sz="0" w:space="0" w:color="auto"/>
                    <w:left w:val="none" w:sz="0" w:space="0" w:color="auto"/>
                    <w:bottom w:val="none" w:sz="0" w:space="0" w:color="auto"/>
                    <w:right w:val="none" w:sz="0" w:space="0" w:color="auto"/>
                  </w:divBdr>
                  <w:divsChild>
                    <w:div w:id="1039012838">
                      <w:marLeft w:val="0"/>
                      <w:marRight w:val="0"/>
                      <w:marTop w:val="0"/>
                      <w:marBottom w:val="0"/>
                      <w:divBdr>
                        <w:top w:val="none" w:sz="0" w:space="0" w:color="auto"/>
                        <w:left w:val="none" w:sz="0" w:space="0" w:color="auto"/>
                        <w:bottom w:val="none" w:sz="0" w:space="0" w:color="auto"/>
                        <w:right w:val="none" w:sz="0" w:space="0" w:color="auto"/>
                      </w:divBdr>
                    </w:div>
                    <w:div w:id="1741323481">
                      <w:marLeft w:val="0"/>
                      <w:marRight w:val="0"/>
                      <w:marTop w:val="0"/>
                      <w:marBottom w:val="0"/>
                      <w:divBdr>
                        <w:top w:val="none" w:sz="0" w:space="0" w:color="auto"/>
                        <w:left w:val="none" w:sz="0" w:space="0" w:color="auto"/>
                        <w:bottom w:val="none" w:sz="0" w:space="0" w:color="auto"/>
                        <w:right w:val="none" w:sz="0" w:space="0" w:color="auto"/>
                      </w:divBdr>
                    </w:div>
                    <w:div w:id="835532985">
                      <w:marLeft w:val="0"/>
                      <w:marRight w:val="0"/>
                      <w:marTop w:val="0"/>
                      <w:marBottom w:val="0"/>
                      <w:divBdr>
                        <w:top w:val="none" w:sz="0" w:space="0" w:color="auto"/>
                        <w:left w:val="none" w:sz="0" w:space="0" w:color="auto"/>
                        <w:bottom w:val="none" w:sz="0" w:space="0" w:color="auto"/>
                        <w:right w:val="none" w:sz="0" w:space="0" w:color="auto"/>
                      </w:divBdr>
                    </w:div>
                    <w:div w:id="672686715">
                      <w:marLeft w:val="0"/>
                      <w:marRight w:val="0"/>
                      <w:marTop w:val="0"/>
                      <w:marBottom w:val="0"/>
                      <w:divBdr>
                        <w:top w:val="none" w:sz="0" w:space="0" w:color="auto"/>
                        <w:left w:val="none" w:sz="0" w:space="0" w:color="auto"/>
                        <w:bottom w:val="none" w:sz="0" w:space="0" w:color="auto"/>
                        <w:right w:val="none" w:sz="0" w:space="0" w:color="auto"/>
                      </w:divBdr>
                    </w:div>
                    <w:div w:id="700671999">
                      <w:marLeft w:val="0"/>
                      <w:marRight w:val="0"/>
                      <w:marTop w:val="0"/>
                      <w:marBottom w:val="0"/>
                      <w:divBdr>
                        <w:top w:val="none" w:sz="0" w:space="0" w:color="auto"/>
                        <w:left w:val="none" w:sz="0" w:space="0" w:color="auto"/>
                        <w:bottom w:val="none" w:sz="0" w:space="0" w:color="auto"/>
                        <w:right w:val="none" w:sz="0" w:space="0" w:color="auto"/>
                      </w:divBdr>
                    </w:div>
                  </w:divsChild>
                </w:div>
                <w:div w:id="2061786554">
                  <w:marLeft w:val="0"/>
                  <w:marRight w:val="0"/>
                  <w:marTop w:val="0"/>
                  <w:marBottom w:val="0"/>
                  <w:divBdr>
                    <w:top w:val="none" w:sz="0" w:space="0" w:color="auto"/>
                    <w:left w:val="none" w:sz="0" w:space="0" w:color="auto"/>
                    <w:bottom w:val="none" w:sz="0" w:space="0" w:color="auto"/>
                    <w:right w:val="none" w:sz="0" w:space="0" w:color="auto"/>
                  </w:divBdr>
                  <w:divsChild>
                    <w:div w:id="1982229318">
                      <w:marLeft w:val="0"/>
                      <w:marRight w:val="0"/>
                      <w:marTop w:val="0"/>
                      <w:marBottom w:val="0"/>
                      <w:divBdr>
                        <w:top w:val="none" w:sz="0" w:space="0" w:color="auto"/>
                        <w:left w:val="none" w:sz="0" w:space="0" w:color="auto"/>
                        <w:bottom w:val="none" w:sz="0" w:space="0" w:color="auto"/>
                        <w:right w:val="none" w:sz="0" w:space="0" w:color="auto"/>
                      </w:divBdr>
                    </w:div>
                  </w:divsChild>
                </w:div>
                <w:div w:id="1530950027">
                  <w:marLeft w:val="0"/>
                  <w:marRight w:val="0"/>
                  <w:marTop w:val="0"/>
                  <w:marBottom w:val="0"/>
                  <w:divBdr>
                    <w:top w:val="none" w:sz="0" w:space="0" w:color="auto"/>
                    <w:left w:val="none" w:sz="0" w:space="0" w:color="auto"/>
                    <w:bottom w:val="none" w:sz="0" w:space="0" w:color="auto"/>
                    <w:right w:val="none" w:sz="0" w:space="0" w:color="auto"/>
                  </w:divBdr>
                  <w:divsChild>
                    <w:div w:id="1087309148">
                      <w:marLeft w:val="0"/>
                      <w:marRight w:val="0"/>
                      <w:marTop w:val="0"/>
                      <w:marBottom w:val="0"/>
                      <w:divBdr>
                        <w:top w:val="none" w:sz="0" w:space="0" w:color="auto"/>
                        <w:left w:val="none" w:sz="0" w:space="0" w:color="auto"/>
                        <w:bottom w:val="none" w:sz="0" w:space="0" w:color="auto"/>
                        <w:right w:val="none" w:sz="0" w:space="0" w:color="auto"/>
                      </w:divBdr>
                    </w:div>
                    <w:div w:id="83915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977926">
          <w:marLeft w:val="0"/>
          <w:marRight w:val="0"/>
          <w:marTop w:val="0"/>
          <w:marBottom w:val="0"/>
          <w:divBdr>
            <w:top w:val="none" w:sz="0" w:space="0" w:color="auto"/>
            <w:left w:val="none" w:sz="0" w:space="0" w:color="auto"/>
            <w:bottom w:val="none" w:sz="0" w:space="0" w:color="auto"/>
            <w:right w:val="none" w:sz="0" w:space="0" w:color="auto"/>
          </w:divBdr>
        </w:div>
        <w:div w:id="1015422830">
          <w:marLeft w:val="0"/>
          <w:marRight w:val="0"/>
          <w:marTop w:val="0"/>
          <w:marBottom w:val="0"/>
          <w:divBdr>
            <w:top w:val="none" w:sz="0" w:space="0" w:color="auto"/>
            <w:left w:val="none" w:sz="0" w:space="0" w:color="auto"/>
            <w:bottom w:val="none" w:sz="0" w:space="0" w:color="auto"/>
            <w:right w:val="none" w:sz="0" w:space="0" w:color="auto"/>
          </w:divBdr>
        </w:div>
      </w:divsChild>
    </w:div>
    <w:div w:id="1321539521">
      <w:bodyDiv w:val="1"/>
      <w:marLeft w:val="0"/>
      <w:marRight w:val="0"/>
      <w:marTop w:val="0"/>
      <w:marBottom w:val="0"/>
      <w:divBdr>
        <w:top w:val="none" w:sz="0" w:space="0" w:color="auto"/>
        <w:left w:val="none" w:sz="0" w:space="0" w:color="auto"/>
        <w:bottom w:val="none" w:sz="0" w:space="0" w:color="auto"/>
        <w:right w:val="none" w:sz="0" w:space="0" w:color="auto"/>
      </w:divBdr>
    </w:div>
    <w:div w:id="1952009117">
      <w:bodyDiv w:val="1"/>
      <w:marLeft w:val="0"/>
      <w:marRight w:val="0"/>
      <w:marTop w:val="0"/>
      <w:marBottom w:val="0"/>
      <w:divBdr>
        <w:top w:val="none" w:sz="0" w:space="0" w:color="auto"/>
        <w:left w:val="none" w:sz="0" w:space="0" w:color="auto"/>
        <w:bottom w:val="none" w:sz="0" w:space="0" w:color="auto"/>
        <w:right w:val="none" w:sz="0" w:space="0" w:color="auto"/>
      </w:divBdr>
      <w:divsChild>
        <w:div w:id="443118078">
          <w:marLeft w:val="0"/>
          <w:marRight w:val="0"/>
          <w:marTop w:val="0"/>
          <w:marBottom w:val="0"/>
          <w:divBdr>
            <w:top w:val="none" w:sz="0" w:space="0" w:color="auto"/>
            <w:left w:val="none" w:sz="0" w:space="0" w:color="auto"/>
            <w:bottom w:val="none" w:sz="0" w:space="0" w:color="auto"/>
            <w:right w:val="none" w:sz="0" w:space="0" w:color="auto"/>
          </w:divBdr>
        </w:div>
        <w:div w:id="1079715736">
          <w:marLeft w:val="0"/>
          <w:marRight w:val="0"/>
          <w:marTop w:val="0"/>
          <w:marBottom w:val="0"/>
          <w:divBdr>
            <w:top w:val="none" w:sz="0" w:space="0" w:color="auto"/>
            <w:left w:val="none" w:sz="0" w:space="0" w:color="auto"/>
            <w:bottom w:val="none" w:sz="0" w:space="0" w:color="auto"/>
            <w:right w:val="none" w:sz="0" w:space="0" w:color="auto"/>
          </w:divBdr>
        </w:div>
      </w:divsChild>
    </w:div>
    <w:div w:id="214252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23" Type="http://schemas.openxmlformats.org/officeDocument/2006/relationships/glossaryDocument" Target="glossary/document.xml"/><Relationship Id="rId15" Type="http://schemas.openxmlformats.org/officeDocument/2006/relationships/hyperlink" Target="http://www.abb.com/ports"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9281C375644AD49D1A7AF4AA3819BE"/>
        <w:category>
          <w:name w:val="General"/>
          <w:gallery w:val="placeholder"/>
        </w:category>
        <w:types>
          <w:type w:val="bbPlcHdr"/>
        </w:types>
        <w:behaviors>
          <w:behavior w:val="content"/>
        </w:behaviors>
        <w:guid w:val="{AF749E9D-A01D-4CF6-8856-D76DC7293AEF}"/>
      </w:docPartPr>
      <w:docPartBody>
        <w:p w:rsidR="006B4A9B" w:rsidRDefault="006B4A9B">
          <w:pPr>
            <w:pStyle w:val="7C9281C375644AD49D1A7AF4AA3819BE"/>
          </w:pPr>
          <w:r w:rsidRPr="004D01CE">
            <w:rPr>
              <w:rStyle w:val="PlaceholderText"/>
            </w:rPr>
            <w:t>[Document Kind]</w:t>
          </w:r>
        </w:p>
      </w:docPartBody>
    </w:docPart>
    <w:docPart>
      <w:docPartPr>
        <w:name w:val="CED91A7DD8DE4B39B2BDB12055DC3C48"/>
        <w:category>
          <w:name w:val="General"/>
          <w:gallery w:val="placeholder"/>
        </w:category>
        <w:types>
          <w:type w:val="bbPlcHdr"/>
        </w:types>
        <w:behaviors>
          <w:behavior w:val="content"/>
        </w:behaviors>
        <w:guid w:val="{3B13EC6F-8D89-4A37-B6C1-E06392640E0A}"/>
      </w:docPartPr>
      <w:docPartBody>
        <w:p w:rsidR="006B4A9B" w:rsidRDefault="006B4A9B">
          <w:pPr>
            <w:pStyle w:val="CED91A7DD8DE4B39B2BDB12055DC3C48"/>
          </w:pPr>
          <w:r w:rsidRPr="005C55BD">
            <w:rPr>
              <w:rStyle w:val="PlaceholderText"/>
            </w:rPr>
            <w:t>[Title]</w:t>
          </w:r>
        </w:p>
      </w:docPartBody>
    </w:docPart>
    <w:docPart>
      <w:docPartPr>
        <w:name w:val="9D39AFE46F234DF3A10F6A271FB6E545"/>
        <w:category>
          <w:name w:val="General"/>
          <w:gallery w:val="placeholder"/>
        </w:category>
        <w:types>
          <w:type w:val="bbPlcHdr"/>
        </w:types>
        <w:behaviors>
          <w:behavior w:val="content"/>
        </w:behaviors>
        <w:guid w:val="{F249C9E7-C6D5-4911-B403-0B0B6554A9D5}"/>
      </w:docPartPr>
      <w:docPartBody>
        <w:p w:rsidR="006B4A9B" w:rsidRDefault="006B4A9B">
          <w:pPr>
            <w:pStyle w:val="9D39AFE46F234DF3A10F6A271FB6E545"/>
          </w:pPr>
          <w:r w:rsidRPr="005C55BD">
            <w:rPr>
              <w:rStyle w:val="PlaceholderText"/>
            </w:rPr>
            <w:t>[Subtitle]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Bvoice">
    <w:panose1 w:val="020D0603020503020204"/>
    <w:charset w:val="00"/>
    <w:family w:val="swiss"/>
    <w:pitch w:val="variable"/>
    <w:sig w:usb0="A10006FF" w:usb1="100060FB" w:usb2="00000028" w:usb3="00000000" w:csb0="0000001F" w:csb1="00000000"/>
  </w:font>
  <w:font w:name="ABBvoice Light">
    <w:panose1 w:val="020D0403020503020204"/>
    <w:charset w:val="00"/>
    <w:family w:val="swiss"/>
    <w:pitch w:val="variable"/>
    <w:sig w:usb0="A10006FF" w:usb1="100060FB" w:usb2="00000028" w:usb3="00000000" w:csb0="0000001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A9B"/>
    <w:rsid w:val="002800DB"/>
    <w:rsid w:val="00287BD6"/>
    <w:rsid w:val="003954C3"/>
    <w:rsid w:val="003F02D1"/>
    <w:rsid w:val="005A48E5"/>
    <w:rsid w:val="006B4A9B"/>
    <w:rsid w:val="006C21B3"/>
    <w:rsid w:val="007B11BB"/>
    <w:rsid w:val="00B31915"/>
    <w:rsid w:val="00C825D7"/>
    <w:rsid w:val="00D84A63"/>
    <w:rsid w:val="00E431B9"/>
    <w:rsid w:val="00F06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C9281C375644AD49D1A7AF4AA3819BE">
    <w:name w:val="7C9281C375644AD49D1A7AF4AA3819BE"/>
  </w:style>
  <w:style w:type="paragraph" w:customStyle="1" w:styleId="CED91A7DD8DE4B39B2BDB12055DC3C48">
    <w:name w:val="CED91A7DD8DE4B39B2BDB12055DC3C48"/>
  </w:style>
  <w:style w:type="paragraph" w:customStyle="1" w:styleId="9D39AFE46F234DF3A10F6A271FB6E545">
    <w:name w:val="9D39AFE46F234DF3A10F6A271FB6E5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BB 2017">
  <a:themeElements>
    <a:clrScheme name="ABB PPT colors with gray links">
      <a:dk1>
        <a:srgbClr val="000000"/>
      </a:dk1>
      <a:lt1>
        <a:srgbClr val="FFFFFF"/>
      </a:lt1>
      <a:dk2>
        <a:srgbClr val="D90000"/>
      </a:dk2>
      <a:lt2>
        <a:srgbClr val="FF000F"/>
      </a:lt2>
      <a:accent1>
        <a:srgbClr val="262626"/>
      </a:accent1>
      <a:accent2>
        <a:srgbClr val="6E6E6E"/>
      </a:accent2>
      <a:accent3>
        <a:srgbClr val="A9A9A9"/>
      </a:accent3>
      <a:accent4>
        <a:srgbClr val="D2D2D2"/>
      </a:accent4>
      <a:accent5>
        <a:srgbClr val="F0F0F0"/>
      </a:accent5>
      <a:accent6>
        <a:srgbClr val="FAFAFA"/>
      </a:accent6>
      <a:hlink>
        <a:srgbClr val="A9A9A9"/>
      </a:hlink>
      <a:folHlink>
        <a:srgbClr val="6E6E6E"/>
      </a:folHlink>
    </a:clrScheme>
    <a:fontScheme name="ABB Fonts">
      <a:majorFont>
        <a:latin typeface="ABBvoice"/>
        <a:ea typeface="ABBvoice"/>
        <a:cs typeface="ABBvoice"/>
      </a:majorFont>
      <a:minorFont>
        <a:latin typeface="ABBvoice"/>
        <a:ea typeface="ABBvoice"/>
        <a:cs typeface="ABBvoi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tx2"/>
        </a:solidFill>
        <a:ln>
          <a:noFill/>
        </a:ln>
      </a:spPr>
      <a:bodyPr rtlCol="0" anchor="ctr"/>
      <a:lstStyle>
        <a:defPPr algn="ctr">
          <a:defRPr sz="1400"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bwMode="gray">
        <a:ln w="1270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bwMode="gray">
        <a:noFill/>
      </a:spPr>
      <a:bodyPr wrap="square" lIns="72000" tIns="72000" rIns="72000" bIns="72000" rtlCol="0">
        <a:noAutofit/>
      </a:bodyPr>
      <a:lstStyle>
        <a:defPPr>
          <a:defRPr sz="1400" dirty="0" err="1" smtClean="0"/>
        </a:defPPr>
      </a:lstStyle>
    </a:txDef>
  </a:objectDefaults>
  <a:extraClrSchemeLst/>
  <a:custClrLst>
    <a:custClr name="Blue">
      <a:srgbClr val="004C97"/>
    </a:custClr>
    <a:custClr name="Green">
      <a:srgbClr val="007A33"/>
    </a:custClr>
    <a:custClr name="Yellow">
      <a:srgbClr val="FFD100"/>
    </a:custClr>
    <a:custClr name="Red Grey">
      <a:srgbClr val="817275"/>
    </a:custClr>
    <a:custClr name="Green Grey">
      <a:srgbClr val="6B7173"/>
    </a:custClr>
    <a:custClr name="Blue Grey">
      <a:srgbClr val="5B6F80"/>
    </a:custClr>
    <a:custClr name="Violet Grey">
      <a:srgbClr val="78838E"/>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82881764B7B04287F5B65E82850C8A" ma:contentTypeVersion="10" ma:contentTypeDescription="Create a new document." ma:contentTypeScope="" ma:versionID="389e52ccd448ce5351922de84c4d4a3e">
  <xsd:schema xmlns:xsd="http://www.w3.org/2001/XMLSchema" xmlns:xs="http://www.w3.org/2001/XMLSchema" xmlns:p="http://schemas.microsoft.com/office/2006/metadata/properties" xmlns:ns2="9bbcf50f-2fd2-41e2-943f-274e0e3b0b9a" targetNamespace="http://schemas.microsoft.com/office/2006/metadata/properties" ma:root="true" ma:fieldsID="aac05a98c1fa59fef6d63ea2f10e34dc" ns2:_="">
    <xsd:import namespace="9bbcf50f-2fd2-41e2-943f-274e0e3b0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bcf50f-2fd2-41e2-943f-274e0e3b0b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ABBTempCustomXMLPart xmlns="http://schemas.abb.com/Office/ABBTempCustomXMLPart">
  <LifecycleStatus>Draft</LifecycleStatus>
  <SecurityLevel>Internal</SecurityLevel>
  <DocumentId/>
  <DocumentRevisionId>A</DocumentRevisionId>
  <LanguageCode>en</LanguageCode>
  <YearOfFirstPublication/>
</ABBTempCustomXMLPart>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AB0BE7-8648-450C-BFCF-276D573CFC7A}"/>
</file>

<file path=customXml/itemProps2.xml><?xml version="1.0" encoding="utf-8"?>
<ds:datastoreItem xmlns:ds="http://schemas.openxmlformats.org/officeDocument/2006/customXml" ds:itemID="{2AAFACCD-4456-4B5D-A191-6A77ADD72319}">
  <ds:schemaRefs>
    <ds:schemaRef ds:uri="http://schemas.openxmlformats.org/officeDocument/2006/bibliography"/>
  </ds:schemaRefs>
</ds:datastoreItem>
</file>

<file path=customXml/itemProps3.xml><?xml version="1.0" encoding="utf-8"?>
<ds:datastoreItem xmlns:ds="http://schemas.openxmlformats.org/officeDocument/2006/customXml" ds:itemID="{C8EA3A31-65DC-4805-AFED-FE1E599C345D}">
  <ds:schemaRefs>
    <ds:schemaRef ds:uri="93dbf341-e9f0-4153-b860-1d6843d40d2d"/>
    <ds:schemaRef ds:uri="7c334bf6-7a07-4a62-a3bf-f23be8b00c66"/>
    <ds:schemaRef ds:uri="71d29222-2c5f-45ad-9aa5-4c2d15fddbe9"/>
    <ds:schemaRef ds:uri="http://purl.org/dc/dcmitype/"/>
    <ds:schemaRef ds:uri="http://purl.org/dc/elements/1.1/"/>
    <ds:schemaRef ds:uri="60508742-a68d-4de1-9171-a20f81576189"/>
    <ds:schemaRef ds:uri="48f81ef4-1518-430e-b461-0a2a946dcac2"/>
    <ds:schemaRef ds:uri="6ad8ad55-d2bb-4db8-9be9-873f161ba40c"/>
    <ds:schemaRef ds:uri="http://schemas.microsoft.com/office/2006/metadata/properties"/>
    <ds:schemaRef ds:uri="http://schemas.microsoft.com/office/2006/documentManagement/types"/>
    <ds:schemaRef ds:uri="http://schemas.microsoft.com/sharepoint/v4"/>
    <ds:schemaRef ds:uri="http://schemas.microsoft.com/office/infopath/2007/PartnerControls"/>
    <ds:schemaRef ds:uri="http://schemas.openxmlformats.org/package/2006/metadata/core-properties"/>
    <ds:schemaRef ds:uri="http://www.w3.org/XML/1998/namespace"/>
    <ds:schemaRef ds:uri="9dca669d-6368-4f35-a550-76e10026dc9f"/>
    <ds:schemaRef ds:uri="http://purl.org/dc/terms/"/>
    <ds:schemaRef ds:uri="d1a2bdf0-8570-41fd-83d8-7fdefa321ba4"/>
  </ds:schemaRefs>
</ds:datastoreItem>
</file>

<file path=customXml/itemProps4.xml><?xml version="1.0" encoding="utf-8"?>
<ds:datastoreItem xmlns:ds="http://schemas.openxmlformats.org/officeDocument/2006/customXml" ds:itemID="{5F264419-1DEA-4EBF-B2D3-E16ACAA9AC93}">
  <ds:schemaRefs>
    <ds:schemaRef ds:uri="http://schemas.abb.com/Office/ABBTempCustomXMLPart"/>
  </ds:schemaRefs>
</ds:datastoreItem>
</file>

<file path=customXml/itemProps6.xml><?xml version="1.0" encoding="utf-8"?>
<ds:datastoreItem xmlns:ds="http://schemas.openxmlformats.org/officeDocument/2006/customXml" ds:itemID="{B265D45A-D8C2-4B5E-83EC-21A484DCF8D5}">
  <ds:schemaRefs>
    <ds:schemaRef ds:uri="http://schemas.microsoft.com/sharepoint/v3/contenttype/forms"/>
  </ds:schemaRefs>
</ds:datastoreItem>
</file>

<file path=docMetadata/LabelInfo.xml><?xml version="1.0" encoding="utf-8"?>
<clbl:labelList xmlns:clbl="http://schemas.microsoft.com/office/2020/mipLabelMetadata">
  <clbl:label id="{d792d246-d363-40e2-82bc-6f0655128b68}" enabled="1" method="Standard" siteId="{372ee9e0-9ce0-4033-a64a-c07073a91ecd}"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7</Pages>
  <Words>846</Words>
  <Characters>4827</Characters>
  <Application>Microsoft Office Word</Application>
  <DocSecurity>0</DocSecurity>
  <Lines>40</Lines>
  <Paragraphs>11</Paragraphs>
  <ScaleCrop>false</ScaleCrop>
  <HeadingPairs>
    <vt:vector size="6" baseType="variant">
      <vt:variant>
        <vt:lpstr>Title</vt:lpstr>
      </vt:variant>
      <vt:variant>
        <vt:i4>1</vt:i4>
      </vt:variant>
      <vt:variant>
        <vt:lpstr>Titel</vt:lpstr>
      </vt:variant>
      <vt:variant>
        <vt:i4>1</vt:i4>
      </vt:variant>
      <vt:variant>
        <vt:lpstr>Überschriften</vt:lpstr>
      </vt:variant>
      <vt:variant>
        <vt:i4>22</vt:i4>
      </vt:variant>
    </vt:vector>
  </HeadingPairs>
  <TitlesOfParts>
    <vt:vector size="24" baseType="lpstr">
      <vt:lpstr>Product Specification for RCM</vt:lpstr>
      <vt:lpstr/>
      <vt:lpstr>Heading 1: Far far away, behind the word mountains</vt:lpstr>
      <vt:lpstr>    Heading 2: Far from the countries Vokalia and Consonantia,</vt:lpstr>
      <vt:lpstr>        Heading 3: There live the blind texts</vt:lpstr>
      <vt:lpstr>    Heading Level 2</vt:lpstr>
      <vt:lpstr>        Heading Level 3</vt:lpstr>
      <vt:lpstr>Heading 1</vt:lpstr>
      <vt:lpstr>Heading 1</vt:lpstr>
      <vt:lpstr>Heading 1</vt:lpstr>
      <vt:lpstr>    Heading 2</vt:lpstr>
      <vt:lpstr>        Heading 3</vt:lpstr>
      <vt:lpstr>        Heading 3</vt:lpstr>
      <vt:lpstr>    Heading 2</vt:lpstr>
      <vt:lpstr>        Another Heading 3</vt:lpstr>
      <vt:lpstr>        And one more Heading 3</vt:lpstr>
      <vt:lpstr>Heading 1</vt:lpstr>
      <vt:lpstr>Heading 1</vt:lpstr>
      <vt:lpstr>Heading 1</vt:lpstr>
      <vt:lpstr>Heading 1</vt:lpstr>
      <vt:lpstr>Heading 1</vt:lpstr>
      <vt:lpstr>Heading 1</vt:lpstr>
      <vt:lpstr>    Heading 2</vt:lpstr>
      <vt:lpstr>        Heading 3</vt:lpstr>
    </vt:vector>
  </TitlesOfParts>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Specification for RCM</dc:title>
  <dc:creator>Mats Lundqvist</dc:creator>
  <cp:lastModifiedBy>Mats Lundqvist</cp:lastModifiedBy>
  <cp:revision>2</cp:revision>
  <cp:lastPrinted>2018-11-01T13:55:00Z</cp:lastPrinted>
  <dcterms:created xsi:type="dcterms:W3CDTF">2026-02-24T14:08:00Z</dcterms:created>
  <dcterms:modified xsi:type="dcterms:W3CDTF">2026-02-24T14:08:00Z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0x010100E682881764B7B04287F5B65E82850C8A</vt:lpwstr>
  </property>
  <property fmtid="{D5CDD505-2E9C-101B-9397-08002B2CF9AE}" pid="3" name="ABB_Coll_LanguageCode">
    <vt:lpwstr>115;#enUS|b1d47545-d50f-4ba8-915a-e2234d8a7261</vt:lpwstr>
  </property>
  <property fmtid="{D5CDD505-2E9C-101B-9397-08002B2CF9AE}" pid="4" name="ABB_Coll_DocumentKind">
    <vt:lpwstr>29;#Specification|1202fc6e-9464-42d3-8f78-1a3f3b5f730d</vt:lpwstr>
  </property>
  <property fmtid="{D5CDD505-2E9C-101B-9397-08002B2CF9AE}" pid="5" name="TaxCatchAll">
    <vt:lpwstr>41;#Content|e6924ec1-41e5-494f-8751-d3eb623fe52b;#12;#en|645eeacf-9e24-46f0-b6e5-4c5343c3dda6</vt:lpwstr>
  </property>
  <property fmtid="{D5CDD505-2E9C-101B-9397-08002B2CF9AE}" pid="6" name="na4369807a744182aff6832bcef961df">
    <vt:lpwstr>Content|e6924ec1-41e5-494f-8751-d3eb623fe52b</vt:lpwstr>
  </property>
  <property fmtid="{D5CDD505-2E9C-101B-9397-08002B2CF9AE}" pid="7" name="o8cb8facb2054f9d919ea0674048ef40">
    <vt:lpwstr>en|645eeacf-9e24-46f0-b6e5-4c5343c3dda6</vt:lpwstr>
  </property>
  <property fmtid="{D5CDD505-2E9C-101B-9397-08002B2CF9AE}" pid="8" name="DocumentInstanceURL">
    <vt:lpwstr>/sites/DocTemplate/ABBDocumentsTemp/202310/Base Word - Product Template PAMP-ae705e90-8e69-41e7-b3e0-0dfbbe971a06.docx</vt:lpwstr>
  </property>
</Properties>
</file>